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5F751C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F751C">
        <w:rPr>
          <w:rFonts w:ascii="Arial" w:hAnsi="Arial" w:cs="Arial"/>
          <w:sz w:val="28"/>
          <w:szCs w:val="28"/>
        </w:rPr>
        <w:t>Ville de Riorges</w:t>
      </w:r>
    </w:p>
    <w:p w:rsidR="005D0829" w:rsidRDefault="005F751C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>
        <w:rPr>
          <w:rFonts w:ascii="Arial" w:hAnsi="Arial"/>
        </w:rPr>
        <w:t>16 mars 2017</w:t>
      </w:r>
      <w:r w:rsidR="006700E2">
        <w:rPr>
          <w:rFonts w:ascii="Arial" w:hAnsi="Arial"/>
        </w:rPr>
        <w:tab/>
      </w:r>
      <w:r w:rsidR="00060EE4">
        <w:rPr>
          <w:rFonts w:ascii="Arial" w:hAnsi="Arial"/>
        </w:rPr>
        <w:t>1.4</w:t>
      </w:r>
      <w:bookmarkStart w:id="0" w:name="_GoBack"/>
      <w:bookmarkEnd w:id="0"/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66F91" w:rsidRDefault="00C66F9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5F751C" w:rsidRDefault="005D0829">
      <w:pPr>
        <w:pStyle w:val="Titre2"/>
        <w:jc w:val="right"/>
        <w:rPr>
          <w:rFonts w:ascii="Arial" w:hAnsi="Arial" w:cs="Arial"/>
        </w:rPr>
      </w:pPr>
      <w:r w:rsidRPr="005F751C">
        <w:rPr>
          <w:rFonts w:ascii="Arial" w:hAnsi="Arial" w:cs="Arial"/>
        </w:rPr>
        <w:t>ADMINISTRATION GENERALE</w:t>
      </w:r>
    </w:p>
    <w:p w:rsidR="005D0829" w:rsidRPr="005F751C" w:rsidRDefault="005D0829">
      <w:pPr>
        <w:tabs>
          <w:tab w:val="left" w:pos="3261"/>
        </w:tabs>
        <w:ind w:left="2269"/>
        <w:jc w:val="right"/>
        <w:rPr>
          <w:rFonts w:ascii="Arial" w:hAnsi="Arial" w:cs="Arial"/>
          <w:b/>
          <w:sz w:val="24"/>
          <w:szCs w:val="24"/>
        </w:rPr>
      </w:pPr>
    </w:p>
    <w:p w:rsidR="00824BED" w:rsidRDefault="00824BED" w:rsidP="00824BED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INDEMNITES DU MAIRE ET DES ADJOINTS</w:t>
      </w:r>
    </w:p>
    <w:p w:rsidR="00824BED" w:rsidRDefault="00824BED" w:rsidP="00824BED">
      <w:pPr>
        <w:ind w:left="1418"/>
        <w:rPr>
          <w:rFonts w:ascii="Arial" w:hAnsi="Arial"/>
          <w:sz w:val="22"/>
        </w:rPr>
      </w:pPr>
    </w:p>
    <w:p w:rsidR="00824BED" w:rsidRDefault="00824BED" w:rsidP="00824BED">
      <w:pPr>
        <w:ind w:left="1418"/>
        <w:jc w:val="both"/>
        <w:rPr>
          <w:rFonts w:ascii="Arial" w:hAnsi="Arial"/>
          <w:sz w:val="22"/>
        </w:rPr>
      </w:pPr>
    </w:p>
    <w:p w:rsidR="00824BED" w:rsidRDefault="00824BED" w:rsidP="00824BED">
      <w:pPr>
        <w:ind w:left="1418"/>
        <w:jc w:val="both"/>
        <w:rPr>
          <w:rFonts w:ascii="Arial" w:hAnsi="Arial"/>
          <w:sz w:val="22"/>
        </w:rPr>
      </w:pPr>
    </w:p>
    <w:p w:rsidR="00824BED" w:rsidRDefault="00824BED" w:rsidP="00824BED">
      <w:pPr>
        <w:ind w:left="1418"/>
        <w:jc w:val="both"/>
        <w:rPr>
          <w:rFonts w:ascii="Arial" w:hAnsi="Arial"/>
          <w:sz w:val="22"/>
        </w:rPr>
      </w:pPr>
    </w:p>
    <w:p w:rsidR="0008378B" w:rsidRDefault="0008378B" w:rsidP="00824BE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Code Général des Collectivités Territoriales (CGCT) et notamment ses articles L2123-20 et suivants prévoient les modalités d’indemnisation des élus locaux.</w:t>
      </w: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L’indemnité de fonction versée au maire et aux adjoints est calculée par référence au montant du traitement correspondant à l’indice brut terminal de l’échelle ind</w:t>
      </w:r>
      <w:r w:rsidR="00B9607B">
        <w:rPr>
          <w:rFonts w:ascii="Arial" w:hAnsi="Arial" w:cs="Arial"/>
          <w:sz w:val="22"/>
          <w:szCs w:val="22"/>
        </w:rPr>
        <w:t>iciaire de la fonction publique</w:t>
      </w:r>
      <w:r>
        <w:rPr>
          <w:rFonts w:ascii="Arial" w:hAnsi="Arial" w:cs="Arial"/>
          <w:sz w:val="22"/>
          <w:szCs w:val="22"/>
        </w:rPr>
        <w:t>. Elle est exprimée, tant pour le maire que pour les adjoints, selon un pourcentage de cet indice, croissant avec l’importance de la population.</w:t>
      </w: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</w:p>
    <w:p w:rsidR="00824BED" w:rsidRPr="0008378B" w:rsidRDefault="00824BED" w:rsidP="00824BED">
      <w:pPr>
        <w:spacing w:line="240" w:lineRule="exact"/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dernier recensement général de la population, la commune comptait 11 0</w:t>
      </w:r>
      <w:r w:rsidR="00B9607B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 habitants. Elle figure donc dans la tranche démographique de 10 000 à 19 999 habitants. De ce fait, l’indemnité maximum de l’indemnité du maire est égale à 65 % de la valeur du point d’indice brut </w:t>
      </w:r>
      <w:r w:rsidR="00B9607B">
        <w:rPr>
          <w:rFonts w:ascii="Arial" w:hAnsi="Arial" w:cs="Arial"/>
          <w:sz w:val="22"/>
          <w:szCs w:val="22"/>
        </w:rPr>
        <w:t>terminal de l'échelle indiciaire de la fonction publique</w:t>
      </w:r>
      <w:r>
        <w:rPr>
          <w:rFonts w:ascii="Arial" w:hAnsi="Arial" w:cs="Arial"/>
          <w:sz w:val="22"/>
          <w:szCs w:val="22"/>
        </w:rPr>
        <w:t xml:space="preserve">. Quant aux adjoints, cette indemnité s’élève au maximum à 27,5% de l’indice </w:t>
      </w:r>
      <w:proofErr w:type="spellStart"/>
      <w:r w:rsidR="00B9607B">
        <w:rPr>
          <w:rFonts w:ascii="Arial" w:hAnsi="Arial" w:cs="Arial"/>
          <w:sz w:val="22"/>
          <w:szCs w:val="22"/>
        </w:rPr>
        <w:t>sus-visé</w:t>
      </w:r>
      <w:proofErr w:type="spellEnd"/>
      <w:r w:rsidR="00B9607B">
        <w:rPr>
          <w:rFonts w:ascii="Arial" w:hAnsi="Arial" w:cs="Arial"/>
          <w:sz w:val="22"/>
          <w:szCs w:val="22"/>
        </w:rPr>
        <w:t>.</w:t>
      </w: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</w:p>
    <w:p w:rsidR="00824BED" w:rsidRDefault="00824BED" w:rsidP="00824BED">
      <w:pPr>
        <w:spacing w:line="240" w:lineRule="exact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au conseil municipal de bien vouloir : </w:t>
      </w:r>
    </w:p>
    <w:p w:rsidR="00824BED" w:rsidRDefault="00824BED" w:rsidP="00824BED">
      <w:pPr>
        <w:numPr>
          <w:ilvl w:val="0"/>
          <w:numId w:val="2"/>
        </w:numPr>
        <w:suppressAutoHyphens/>
        <w:spacing w:before="120" w:line="240" w:lineRule="exact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accorder au maire et aux adjoints, les indemnités de fonction au taux maximum </w:t>
      </w:r>
      <w:r w:rsidR="00B9607B">
        <w:rPr>
          <w:rFonts w:ascii="Arial" w:hAnsi="Arial" w:cs="Arial"/>
          <w:sz w:val="22"/>
          <w:szCs w:val="22"/>
        </w:rPr>
        <w:t xml:space="preserve">correspondant à l'indice brut terminal de l'échelle indiciaire de la fonction publique </w:t>
      </w:r>
      <w:r>
        <w:rPr>
          <w:rFonts w:ascii="Arial" w:hAnsi="Arial" w:cs="Arial"/>
          <w:sz w:val="22"/>
          <w:szCs w:val="22"/>
        </w:rPr>
        <w:t>;</w:t>
      </w:r>
    </w:p>
    <w:p w:rsidR="00824BED" w:rsidRDefault="00824BED" w:rsidP="00824BED">
      <w:pPr>
        <w:numPr>
          <w:ilvl w:val="0"/>
          <w:numId w:val="2"/>
        </w:numPr>
        <w:suppressAutoHyphens/>
        <w:spacing w:before="120" w:line="240" w:lineRule="exact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 que les crédits nécessaires sont inscrits au chapitre 65 – section de fonctionnement du budget communal. </w:t>
      </w:r>
    </w:p>
    <w:p w:rsidR="00824BED" w:rsidRDefault="00824BED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08378B" w:rsidRDefault="0008378B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5F751C" w:rsidRDefault="005F751C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5F751C" w:rsidRDefault="005F751C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824BED" w:rsidRDefault="0082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24BED" w:rsidRDefault="00824BED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824BED" w:rsidRDefault="00824BED" w:rsidP="00824BED">
      <w:pPr>
        <w:suppressAutoHyphens/>
        <w:spacing w:line="240" w:lineRule="exact"/>
        <w:ind w:left="1418"/>
        <w:jc w:val="both"/>
        <w:rPr>
          <w:rFonts w:ascii="Arial" w:hAnsi="Arial" w:cs="Arial"/>
          <w:sz w:val="22"/>
          <w:szCs w:val="22"/>
        </w:rPr>
      </w:pPr>
    </w:p>
    <w:p w:rsidR="00824BED" w:rsidRPr="00B9607B" w:rsidRDefault="00824BED" w:rsidP="00824BED">
      <w:pPr>
        <w:spacing w:after="120" w:line="240" w:lineRule="exact"/>
        <w:ind w:left="708" w:firstLine="708"/>
        <w:jc w:val="center"/>
        <w:rPr>
          <w:rFonts w:ascii="Arial" w:hAnsi="Arial" w:cs="Arial"/>
          <w:b/>
          <w:sz w:val="28"/>
          <w:szCs w:val="28"/>
        </w:rPr>
      </w:pPr>
    </w:p>
    <w:p w:rsidR="00824BED" w:rsidRPr="00B9607B" w:rsidRDefault="00824BED" w:rsidP="00824BED">
      <w:pPr>
        <w:spacing w:after="120" w:line="240" w:lineRule="exact"/>
        <w:ind w:left="708" w:firstLine="708"/>
        <w:jc w:val="center"/>
        <w:rPr>
          <w:rFonts w:ascii="Arial" w:hAnsi="Arial" w:cs="Arial"/>
          <w:b/>
          <w:sz w:val="28"/>
          <w:szCs w:val="28"/>
        </w:rPr>
      </w:pPr>
      <w:r w:rsidRPr="00B9607B">
        <w:rPr>
          <w:rFonts w:ascii="Arial" w:hAnsi="Arial" w:cs="Arial"/>
          <w:b/>
          <w:sz w:val="28"/>
          <w:szCs w:val="28"/>
        </w:rPr>
        <w:t>INDEMNITES DU MAIRE ET DES ADJOINTS</w:t>
      </w:r>
    </w:p>
    <w:p w:rsidR="00824BED" w:rsidRDefault="00824BED" w:rsidP="00824BED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824BED" w:rsidRPr="00824BED" w:rsidRDefault="00824BED" w:rsidP="00824BED">
      <w:pPr>
        <w:spacing w:after="120" w:line="240" w:lineRule="exact"/>
        <w:ind w:left="708" w:firstLine="708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4"/>
        <w:gridCol w:w="2977"/>
      </w:tblGrid>
      <w:tr w:rsidR="007E2530" w:rsidRPr="00B9607B" w:rsidTr="007E2530">
        <w:tc>
          <w:tcPr>
            <w:tcW w:w="3402" w:type="dxa"/>
            <w:vAlign w:val="center"/>
          </w:tcPr>
          <w:p w:rsidR="007E2530" w:rsidRPr="00B9607B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07B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984" w:type="dxa"/>
            <w:vAlign w:val="center"/>
          </w:tcPr>
          <w:p w:rsidR="007E2530" w:rsidRPr="00B9607B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07B">
              <w:rPr>
                <w:rFonts w:ascii="Arial" w:hAnsi="Arial" w:cs="Arial"/>
                <w:b/>
                <w:sz w:val="18"/>
                <w:szCs w:val="18"/>
              </w:rPr>
              <w:t>Fonction</w:t>
            </w:r>
          </w:p>
        </w:tc>
        <w:tc>
          <w:tcPr>
            <w:tcW w:w="2977" w:type="dxa"/>
            <w:vAlign w:val="center"/>
          </w:tcPr>
          <w:p w:rsidR="007E2530" w:rsidRPr="00B9607B" w:rsidRDefault="007E2530" w:rsidP="00B960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07B">
              <w:rPr>
                <w:rFonts w:ascii="Arial" w:hAnsi="Arial" w:cs="Arial"/>
                <w:b/>
                <w:sz w:val="18"/>
                <w:szCs w:val="18"/>
              </w:rPr>
              <w:t>Pourcentage de l’indice brut terminal de l'échelle indiciaire de la fonction publique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CHERVIN Jean-Luc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Maire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65%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SCHMÜCK Martine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1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adjointe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MICHAUD Eric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MOUILLER Véronique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3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adjointe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BARRAUD Jacky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4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TISSIER Nathalie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5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adjointe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NEJJAR Nabih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6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THORAL Pascale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7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adjointe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CHAUDAGNE Alain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8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  <w:tr w:rsidR="007E2530" w:rsidRPr="009031A7" w:rsidTr="007E2530">
        <w:tc>
          <w:tcPr>
            <w:tcW w:w="3402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JEVAUDAN Stéphane</w:t>
            </w:r>
          </w:p>
        </w:tc>
        <w:tc>
          <w:tcPr>
            <w:tcW w:w="1984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9</w:t>
            </w:r>
            <w:r w:rsidRPr="009031A7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9031A7"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</w:tc>
        <w:tc>
          <w:tcPr>
            <w:tcW w:w="2977" w:type="dxa"/>
            <w:vAlign w:val="center"/>
          </w:tcPr>
          <w:p w:rsidR="007E2530" w:rsidRPr="009031A7" w:rsidRDefault="007E2530" w:rsidP="00824BED">
            <w:pPr>
              <w:spacing w:before="120"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A7">
              <w:rPr>
                <w:rFonts w:ascii="Arial" w:hAnsi="Arial" w:cs="Arial"/>
                <w:sz w:val="22"/>
                <w:szCs w:val="22"/>
              </w:rPr>
              <w:t>27.5%</w:t>
            </w:r>
          </w:p>
        </w:tc>
      </w:tr>
    </w:tbl>
    <w:p w:rsidR="00824BED" w:rsidRPr="00824BED" w:rsidRDefault="00824BED" w:rsidP="00824BED">
      <w:pPr>
        <w:spacing w:line="240" w:lineRule="exact"/>
        <w:ind w:left="708" w:firstLine="708"/>
        <w:rPr>
          <w:rFonts w:ascii="Arial" w:hAnsi="Arial" w:cs="Arial"/>
          <w:sz w:val="22"/>
          <w:szCs w:val="22"/>
        </w:rPr>
      </w:pPr>
    </w:p>
    <w:p w:rsidR="00031F5F" w:rsidRPr="00824BED" w:rsidRDefault="00031F5F" w:rsidP="00824BED">
      <w:pPr>
        <w:ind w:left="1418"/>
        <w:jc w:val="both"/>
        <w:rPr>
          <w:rFonts w:ascii="Arial" w:hAnsi="Arial"/>
          <w:sz w:val="22"/>
        </w:rPr>
      </w:pPr>
    </w:p>
    <w:sectPr w:rsidR="00031F5F" w:rsidRPr="00824BED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3462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0EE4"/>
    <w:rsid w:val="00062F12"/>
    <w:rsid w:val="0007273D"/>
    <w:rsid w:val="000774C3"/>
    <w:rsid w:val="000819F9"/>
    <w:rsid w:val="00081FAB"/>
    <w:rsid w:val="00082349"/>
    <w:rsid w:val="0008378B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1E3"/>
    <w:rsid w:val="001D02B2"/>
    <w:rsid w:val="001D1797"/>
    <w:rsid w:val="001D1DB4"/>
    <w:rsid w:val="001D5B78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660D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1F2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2490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4CC5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51C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2FBB"/>
    <w:rsid w:val="007D3507"/>
    <w:rsid w:val="007E2530"/>
    <w:rsid w:val="007E44AB"/>
    <w:rsid w:val="007F2013"/>
    <w:rsid w:val="007F2AA2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07B"/>
    <w:rsid w:val="00BA1362"/>
    <w:rsid w:val="00BA244D"/>
    <w:rsid w:val="00BA4CCC"/>
    <w:rsid w:val="00BA5A9F"/>
    <w:rsid w:val="00BA6753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66F91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4F5C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B051-F239-45EA-822D-A263CA0C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2014-04-11T14:36:00Z</cp:lastPrinted>
  <dcterms:created xsi:type="dcterms:W3CDTF">2017-02-27T14:43:00Z</dcterms:created>
  <dcterms:modified xsi:type="dcterms:W3CDTF">2017-03-03T13:05:00Z</dcterms:modified>
</cp:coreProperties>
</file>