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20582B" w:rsidRDefault="00954E6A" w:rsidP="00F023D8">
      <w:pPr>
        <w:pStyle w:val="Titre1"/>
        <w:ind w:left="567"/>
        <w:rPr>
          <w:rFonts w:ascii="Arial" w:hAnsi="Arial" w:cs="Arial"/>
          <w:sz w:val="28"/>
          <w:szCs w:val="28"/>
        </w:rPr>
      </w:pPr>
      <w:r w:rsidRPr="0020582B">
        <w:rPr>
          <w:rFonts w:ascii="Arial" w:hAnsi="Arial" w:cs="Arial"/>
          <w:sz w:val="28"/>
          <w:szCs w:val="28"/>
        </w:rPr>
        <w:t>Ville de Riorges</w:t>
      </w:r>
    </w:p>
    <w:p w:rsidR="00B74788" w:rsidRPr="0020582B" w:rsidRDefault="007053B5" w:rsidP="00914A88">
      <w:pPr>
        <w:pStyle w:val="Titre1"/>
        <w:tabs>
          <w:tab w:val="right" w:pos="9639"/>
        </w:tabs>
        <w:ind w:left="567"/>
        <w:rPr>
          <w:rFonts w:ascii="Arial" w:hAnsi="Arial" w:cs="Arial"/>
        </w:rPr>
      </w:pPr>
      <w:r>
        <w:rPr>
          <w:rFonts w:ascii="Arial" w:hAnsi="Arial" w:cs="Arial"/>
        </w:rPr>
        <w:t>Délibération du c</w:t>
      </w:r>
      <w:r w:rsidR="001C4B7C" w:rsidRPr="0020582B">
        <w:rPr>
          <w:rFonts w:ascii="Arial" w:hAnsi="Arial" w:cs="Arial"/>
        </w:rPr>
        <w:t xml:space="preserve">onseil municipal du </w:t>
      </w:r>
      <w:r>
        <w:rPr>
          <w:rFonts w:ascii="Arial" w:hAnsi="Arial" w:cs="Arial"/>
        </w:rPr>
        <w:t>19 mai</w:t>
      </w:r>
      <w:r w:rsidR="001C4B7C" w:rsidRPr="0020582B">
        <w:rPr>
          <w:rFonts w:ascii="Arial" w:hAnsi="Arial" w:cs="Arial"/>
        </w:rPr>
        <w:t xml:space="preserve"> 201</w:t>
      </w:r>
      <w:r w:rsidR="006128D2">
        <w:rPr>
          <w:rFonts w:ascii="Arial" w:hAnsi="Arial" w:cs="Arial"/>
        </w:rPr>
        <w:t>6</w:t>
      </w:r>
      <w:r w:rsidR="00F771FB" w:rsidRPr="0020582B">
        <w:rPr>
          <w:rFonts w:ascii="Arial" w:hAnsi="Arial" w:cs="Arial"/>
        </w:rPr>
        <w:tab/>
      </w:r>
      <w:r w:rsidR="00F71823">
        <w:rPr>
          <w:rFonts w:ascii="Arial" w:hAnsi="Arial" w:cs="Arial"/>
        </w:rPr>
        <w:t>1.2</w:t>
      </w:r>
    </w:p>
    <w:p w:rsidR="007F0796" w:rsidRPr="0020582B" w:rsidRDefault="007F0796">
      <w:pPr>
        <w:tabs>
          <w:tab w:val="left" w:pos="1276"/>
          <w:tab w:val="left" w:pos="3402"/>
        </w:tabs>
        <w:ind w:left="2268"/>
        <w:jc w:val="center"/>
        <w:rPr>
          <w:rFonts w:ascii="Arial" w:hAnsi="Arial"/>
          <w:b/>
          <w:sz w:val="22"/>
        </w:rPr>
      </w:pPr>
    </w:p>
    <w:p w:rsidR="007F0796" w:rsidRPr="0020582B" w:rsidRDefault="007F0796">
      <w:pPr>
        <w:tabs>
          <w:tab w:val="left" w:pos="1276"/>
          <w:tab w:val="left" w:pos="3402"/>
        </w:tabs>
        <w:ind w:left="2268"/>
        <w:jc w:val="center"/>
        <w:rPr>
          <w:rFonts w:ascii="Arial" w:hAnsi="Arial"/>
          <w:b/>
          <w:sz w:val="22"/>
        </w:rPr>
      </w:pPr>
    </w:p>
    <w:p w:rsidR="005C1430" w:rsidRPr="0020582B" w:rsidRDefault="005C1430">
      <w:pPr>
        <w:tabs>
          <w:tab w:val="left" w:pos="1276"/>
          <w:tab w:val="left" w:pos="3402"/>
        </w:tabs>
        <w:ind w:left="2268"/>
        <w:jc w:val="center"/>
        <w:rPr>
          <w:rFonts w:ascii="Arial" w:hAnsi="Arial"/>
          <w:b/>
          <w:sz w:val="22"/>
        </w:rPr>
      </w:pPr>
    </w:p>
    <w:p w:rsidR="007F0796" w:rsidRPr="0020582B" w:rsidRDefault="00D217AC" w:rsidP="00497BB3">
      <w:pPr>
        <w:pStyle w:val="Titre4"/>
        <w:rPr>
          <w:sz w:val="24"/>
          <w:szCs w:val="24"/>
        </w:rPr>
      </w:pPr>
      <w:r w:rsidRPr="0020582B">
        <w:rPr>
          <w:sz w:val="24"/>
          <w:szCs w:val="24"/>
        </w:rPr>
        <w:t>ADMINISTRATION GENERALE</w:t>
      </w:r>
    </w:p>
    <w:p w:rsidR="007F0796" w:rsidRPr="0020582B" w:rsidRDefault="007F0796">
      <w:pPr>
        <w:tabs>
          <w:tab w:val="left" w:pos="1276"/>
          <w:tab w:val="left" w:pos="3261"/>
        </w:tabs>
        <w:ind w:left="2269"/>
        <w:jc w:val="right"/>
        <w:rPr>
          <w:rFonts w:ascii="Arial" w:hAnsi="Arial"/>
          <w:b/>
          <w:sz w:val="22"/>
        </w:rPr>
      </w:pPr>
    </w:p>
    <w:p w:rsidR="00BB0AA6" w:rsidRDefault="009D5E54" w:rsidP="00F60FF2">
      <w:pPr>
        <w:ind w:left="1418"/>
        <w:jc w:val="right"/>
        <w:rPr>
          <w:rFonts w:ascii="Arial" w:hAnsi="Arial"/>
          <w:b/>
          <w:sz w:val="22"/>
        </w:rPr>
      </w:pPr>
      <w:r>
        <w:rPr>
          <w:rFonts w:ascii="Arial" w:hAnsi="Arial"/>
          <w:b/>
          <w:sz w:val="22"/>
        </w:rPr>
        <w:t>ENSEIGNEMENT ARTISTIQUE</w:t>
      </w:r>
    </w:p>
    <w:p w:rsidR="00120000" w:rsidRPr="0020582B" w:rsidRDefault="009D5E54" w:rsidP="00F60FF2">
      <w:pPr>
        <w:ind w:left="1418"/>
        <w:jc w:val="right"/>
        <w:rPr>
          <w:rFonts w:ascii="Arial" w:hAnsi="Arial"/>
          <w:b/>
          <w:sz w:val="22"/>
        </w:rPr>
      </w:pPr>
      <w:r>
        <w:rPr>
          <w:rFonts w:ascii="Arial" w:hAnsi="Arial"/>
          <w:b/>
          <w:sz w:val="22"/>
        </w:rPr>
        <w:t>TRANSFERT D'UNE COMPETENCE FACULTATIVE</w:t>
      </w:r>
    </w:p>
    <w:p w:rsidR="00D217AC" w:rsidRDefault="00D217AC" w:rsidP="00D217AC">
      <w:pPr>
        <w:ind w:left="1418"/>
        <w:jc w:val="both"/>
        <w:rPr>
          <w:rFonts w:ascii="Arial" w:hAnsi="Arial"/>
          <w:sz w:val="22"/>
        </w:rPr>
      </w:pPr>
    </w:p>
    <w:p w:rsidR="00D3529E" w:rsidRDefault="00D3529E" w:rsidP="00D217AC">
      <w:pPr>
        <w:ind w:left="1418"/>
        <w:jc w:val="both"/>
        <w:rPr>
          <w:rFonts w:ascii="Arial" w:hAnsi="Arial"/>
          <w:sz w:val="22"/>
        </w:rPr>
      </w:pPr>
    </w:p>
    <w:p w:rsidR="00EA6742" w:rsidRDefault="00EA6742" w:rsidP="00D217AC">
      <w:pPr>
        <w:ind w:left="1418"/>
        <w:jc w:val="both"/>
        <w:rPr>
          <w:rFonts w:ascii="Arial" w:hAnsi="Arial"/>
          <w:sz w:val="22"/>
        </w:rPr>
      </w:pPr>
    </w:p>
    <w:p w:rsidR="00EA6742" w:rsidRDefault="00EA6742" w:rsidP="00D217AC">
      <w:pPr>
        <w:ind w:left="1418"/>
        <w:jc w:val="both"/>
        <w:rPr>
          <w:rFonts w:ascii="Arial" w:hAnsi="Arial"/>
          <w:sz w:val="22"/>
        </w:rPr>
      </w:pPr>
    </w:p>
    <w:p w:rsidR="00AD1B9A" w:rsidRDefault="00D24738" w:rsidP="00D217AC">
      <w:pPr>
        <w:ind w:left="1418"/>
        <w:jc w:val="both"/>
        <w:rPr>
          <w:rFonts w:ascii="Arial" w:hAnsi="Arial"/>
          <w:sz w:val="22"/>
        </w:rPr>
      </w:pPr>
      <w:r>
        <w:rPr>
          <w:rFonts w:ascii="Arial" w:hAnsi="Arial"/>
          <w:sz w:val="22"/>
        </w:rPr>
        <w:t>A la suite du rapport présenté par Monsieur le Maire ;</w:t>
      </w:r>
    </w:p>
    <w:p w:rsidR="00AD1B9A" w:rsidRPr="0020582B" w:rsidRDefault="00AD1B9A" w:rsidP="00D217AC">
      <w:pPr>
        <w:ind w:left="1418"/>
        <w:jc w:val="both"/>
        <w:rPr>
          <w:rFonts w:ascii="Arial" w:hAnsi="Arial"/>
          <w:sz w:val="22"/>
        </w:rPr>
      </w:pPr>
    </w:p>
    <w:p w:rsidR="00914A88" w:rsidRDefault="00914A88">
      <w:pPr>
        <w:ind w:left="1418"/>
        <w:jc w:val="both"/>
        <w:rPr>
          <w:rFonts w:ascii="Arial" w:hAnsi="Arial"/>
          <w:sz w:val="22"/>
        </w:rPr>
      </w:pPr>
    </w:p>
    <w:p w:rsidR="00117BD3" w:rsidRDefault="00117BD3" w:rsidP="00117BD3">
      <w:pPr>
        <w:pStyle w:val="NormalWeb"/>
        <w:spacing w:before="0" w:after="0" w:line="240" w:lineRule="auto"/>
        <w:ind w:left="1418"/>
        <w:jc w:val="both"/>
        <w:rPr>
          <w:rFonts w:ascii="Arial" w:hAnsi="Arial" w:cs="Arial"/>
          <w:i/>
          <w:sz w:val="22"/>
          <w:szCs w:val="22"/>
        </w:rPr>
      </w:pPr>
      <w:r w:rsidRPr="00117BD3">
        <w:rPr>
          <w:rFonts w:ascii="Arial" w:hAnsi="Arial" w:cs="Arial"/>
          <w:sz w:val="22"/>
          <w:szCs w:val="22"/>
        </w:rPr>
        <w:t>Vu le code général des collectivités territoriales et notamment l’a</w:t>
      </w:r>
      <w:r>
        <w:rPr>
          <w:rFonts w:ascii="Arial" w:hAnsi="Arial" w:cs="Arial"/>
          <w:sz w:val="22"/>
          <w:szCs w:val="22"/>
        </w:rPr>
        <w:t>rticle L5211-17 qui prévoit que "</w:t>
      </w:r>
      <w:r w:rsidRPr="00117BD3">
        <w:rPr>
          <w:rFonts w:ascii="Arial" w:hAnsi="Arial" w:cs="Arial"/>
          <w:i/>
          <w:sz w:val="22"/>
          <w:szCs w:val="22"/>
        </w:rPr>
        <w:t xml:space="preserve">Les communes membres d'un établissement public de coopération intercommunale peuvent à tout moment transférer, en tout ou partie, à ce dernier, certaines de leurs compétences dont le transfert n'est pas prévu par la loi ou par la décision </w:t>
      </w:r>
      <w:proofErr w:type="spellStart"/>
      <w:r w:rsidRPr="00117BD3">
        <w:rPr>
          <w:rFonts w:ascii="Arial" w:hAnsi="Arial" w:cs="Arial"/>
          <w:i/>
          <w:sz w:val="22"/>
          <w:szCs w:val="22"/>
        </w:rPr>
        <w:t>institutive</w:t>
      </w:r>
      <w:proofErr w:type="spellEnd"/>
      <w:r w:rsidRPr="00117BD3">
        <w:rPr>
          <w:rFonts w:ascii="Arial" w:hAnsi="Arial" w:cs="Arial"/>
          <w:i/>
          <w:sz w:val="22"/>
          <w:szCs w:val="22"/>
        </w:rPr>
        <w:t xml:space="preserve"> ainsi que les biens, équipements ou services publics nécessaires à leur exercice. […] Ces transferts sont décidés par délibérations concordantes de l'organe délibérant et des conseils municipaux se prononçant dans les conditions de majorité requise pour la création de l'établissement public de coopération intercommunale. Le conseil municipal de chaque </w:t>
      </w:r>
      <w:proofErr w:type="gramStart"/>
      <w:r w:rsidRPr="00117BD3">
        <w:rPr>
          <w:rFonts w:ascii="Arial" w:hAnsi="Arial" w:cs="Arial"/>
          <w:i/>
          <w:sz w:val="22"/>
          <w:szCs w:val="22"/>
        </w:rPr>
        <w:t>commune</w:t>
      </w:r>
      <w:proofErr w:type="gramEnd"/>
      <w:r w:rsidRPr="00117BD3">
        <w:rPr>
          <w:rFonts w:ascii="Arial" w:hAnsi="Arial" w:cs="Arial"/>
          <w:i/>
          <w:sz w:val="22"/>
          <w:szCs w:val="22"/>
        </w:rPr>
        <w:t xml:space="preserve"> membre dispose d'un délai de trois mois, à compter de la notification au maire de la commune de la délibération de l'organe délibérant de l'établissement public de coopération intercommunale, pour se prononcer sur les transferts proposés. A défaut de délibération dans ce délai, sa décision est réputée favorable. […] Le transfert de compétences est prononcé par arrêté du ou des représentants de l'Etat dans le o</w:t>
      </w:r>
      <w:r>
        <w:rPr>
          <w:rFonts w:ascii="Arial" w:hAnsi="Arial" w:cs="Arial"/>
          <w:i/>
          <w:sz w:val="22"/>
          <w:szCs w:val="22"/>
        </w:rPr>
        <w:t>u les départements intéressés."</w:t>
      </w:r>
    </w:p>
    <w:p w:rsidR="00117BD3" w:rsidRPr="00117BD3" w:rsidRDefault="00117BD3" w:rsidP="00117BD3">
      <w:pPr>
        <w:pStyle w:val="NormalWeb"/>
        <w:spacing w:before="0" w:after="0" w:line="240" w:lineRule="auto"/>
        <w:ind w:left="1418"/>
        <w:jc w:val="both"/>
        <w:rPr>
          <w:rFonts w:ascii="Arial" w:hAnsi="Arial" w:cs="Arial"/>
          <w:i/>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 xml:space="preserve">Vu l’article L5216-6 du code général des collectivités territoriales prévoyant que </w:t>
      </w:r>
      <w:r>
        <w:rPr>
          <w:rFonts w:ascii="Arial" w:hAnsi="Arial" w:cs="Arial"/>
          <w:sz w:val="22"/>
          <w:szCs w:val="22"/>
        </w:rPr>
        <w:t>"</w:t>
      </w:r>
      <w:r w:rsidRPr="00117BD3">
        <w:rPr>
          <w:rFonts w:ascii="Arial" w:hAnsi="Arial" w:cs="Arial"/>
          <w:i/>
          <w:sz w:val="22"/>
          <w:szCs w:val="22"/>
        </w:rPr>
        <w:t>La communauté d'agglomération est également substituée de plein droit, pour les compétences qu'elle exerce, au syndicat de communes ou au syndicat mixte inclus en totalité dans son périmètre</w:t>
      </w:r>
      <w:r>
        <w:rPr>
          <w:rFonts w:ascii="Arial" w:hAnsi="Arial" w:cs="Arial"/>
          <w:sz w:val="22"/>
          <w:szCs w:val="22"/>
        </w:rPr>
        <w:t>"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 xml:space="preserve">Vu l’article L5212-33 du code général des collectivités territoriales prévoyant que </w:t>
      </w:r>
      <w:r>
        <w:rPr>
          <w:rFonts w:ascii="Arial" w:hAnsi="Arial" w:cs="Arial"/>
          <w:sz w:val="22"/>
          <w:szCs w:val="22"/>
        </w:rPr>
        <w:t>"</w:t>
      </w:r>
      <w:r w:rsidRPr="00117BD3">
        <w:rPr>
          <w:rFonts w:ascii="Arial" w:hAnsi="Arial" w:cs="Arial"/>
          <w:i/>
          <w:sz w:val="22"/>
          <w:szCs w:val="22"/>
        </w:rPr>
        <w:t>Le syndicat est dissous […] de plein droit […] à la date du transfert à un établissement public de coopération intercommunale à fiscalité propre</w:t>
      </w:r>
      <w:r>
        <w:rPr>
          <w:rFonts w:ascii="Arial" w:hAnsi="Arial" w:cs="Arial"/>
          <w:sz w:val="22"/>
          <w:szCs w:val="22"/>
        </w:rPr>
        <w:t>"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 xml:space="preserve">Vu l’article L5211-41 précisant que </w:t>
      </w:r>
      <w:r>
        <w:rPr>
          <w:rFonts w:ascii="Arial" w:hAnsi="Arial" w:cs="Arial"/>
          <w:sz w:val="22"/>
          <w:szCs w:val="22"/>
        </w:rPr>
        <w:t>"</w:t>
      </w:r>
      <w:r w:rsidRPr="00117BD3">
        <w:rPr>
          <w:rFonts w:ascii="Arial" w:hAnsi="Arial" w:cs="Arial"/>
          <w:i/>
          <w:sz w:val="22"/>
          <w:szCs w:val="22"/>
        </w:rPr>
        <w:t>L'ensemble des biens, droits et obligations de l'établissement public de coopération intercommunale transformé sont transférés au nouvel établissement public qui est substitué de plein droit à l'ancien établissement dans toutes les délibérations et tous les actes de ce dernier à la date de l'acte duquel la transformation est issue. L'ensemble des personnels de l'établissement transformé est réputé relever du nouvel établissement dans les conditions de statut et d'emploi qui sont les siennes</w:t>
      </w:r>
      <w:r>
        <w:rPr>
          <w:rFonts w:ascii="Arial" w:hAnsi="Arial" w:cs="Arial"/>
          <w:sz w:val="22"/>
          <w:szCs w:val="22"/>
        </w:rPr>
        <w:t>"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 xml:space="preserve">Vu l’article R5214-1-1 du code général des collectivités territoriales mentionnant que </w:t>
      </w:r>
      <w:r>
        <w:rPr>
          <w:rFonts w:ascii="Arial" w:hAnsi="Arial" w:cs="Arial"/>
          <w:sz w:val="22"/>
          <w:szCs w:val="22"/>
        </w:rPr>
        <w:t>"</w:t>
      </w:r>
      <w:r w:rsidRPr="00117BD3">
        <w:rPr>
          <w:rFonts w:ascii="Arial" w:hAnsi="Arial" w:cs="Arial"/>
          <w:i/>
          <w:sz w:val="22"/>
          <w:szCs w:val="22"/>
        </w:rPr>
        <w:t>L'arrêté instituant la communauté de communes, ou modifiant son périmètre ou ses compétences, constate la dissolution de l'établissement public de coopération intercommunale préexistant et détermine, sous la réserve des droits des tiers, les conditions de cette liquidation</w:t>
      </w:r>
      <w:r>
        <w:rPr>
          <w:rFonts w:ascii="Arial" w:hAnsi="Arial" w:cs="Arial"/>
          <w:sz w:val="22"/>
          <w:szCs w:val="22"/>
        </w:rPr>
        <w:t xml:space="preserve"> ;</w:t>
      </w:r>
    </w:p>
    <w:p w:rsidR="00117BD3" w:rsidRPr="00117BD3" w:rsidRDefault="00117BD3"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Vu l’arrêté préfectoral du 11 juin 1999 de création du syndicat intercommunal d’enseignement musical de l’agglomération roannaise</w:t>
      </w:r>
      <w:r>
        <w:rPr>
          <w:rFonts w:ascii="Arial" w:hAnsi="Arial" w:cs="Arial"/>
          <w:sz w:val="22"/>
          <w:szCs w:val="22"/>
        </w:rPr>
        <w:t xml:space="preserve"> </w:t>
      </w:r>
      <w:r w:rsidRPr="00117BD3">
        <w:rPr>
          <w:rFonts w:ascii="Arial" w:hAnsi="Arial" w:cs="Arial"/>
          <w:sz w:val="22"/>
          <w:szCs w:val="22"/>
        </w:rPr>
        <w:t>;</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Vu l’arrêté préfectoral du 15 mai 2001 portant modification des statuts du syndicat intercommunal d’enseignement musical de l’agglomération roannaise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 xml:space="preserve">Vu l’arrêté préfectoral du 12 novembre 2013, portant statuts de Roannais Agglomération, notamment la compétence facultative </w:t>
      </w:r>
      <w:r>
        <w:rPr>
          <w:rFonts w:ascii="Arial" w:hAnsi="Arial" w:cs="Arial"/>
          <w:sz w:val="22"/>
          <w:szCs w:val="22"/>
        </w:rPr>
        <w:t>"Action culturelle"</w:t>
      </w:r>
      <w:r w:rsidRPr="00117BD3">
        <w:rPr>
          <w:rFonts w:ascii="Arial" w:hAnsi="Arial" w:cs="Arial"/>
          <w:sz w:val="22"/>
          <w:szCs w:val="22"/>
        </w:rPr>
        <w:t>, et plus précisément l’enseignement musical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 xml:space="preserve">Vu la délibération du conseil communautaire du 31 mars 2016 sur la modification de la compétence facultative action culturelle portant sur le transfert de l’enseignement artistique </w:t>
      </w:r>
      <w:r>
        <w:rPr>
          <w:rFonts w:ascii="Arial" w:hAnsi="Arial" w:cs="Arial"/>
          <w:sz w:val="22"/>
          <w:szCs w:val="22"/>
        </w:rPr>
        <w:t>à la communauté d’agglomération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Considérant que les élus ont élaboré un projet permettant d’offrir aux habitants, et plus particulièrement aux jeunes du territoire, un accès à un enseignement artistique de qualité coordonné et organisé en réseau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 xml:space="preserve">Considérant que l’association du centre musical Pierre Boulez est comprise dans ce transfert ;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Considérant que le transfert de l’enseignement artistique des communes à la communauté d’agglomération recouvre en totalité l’objet du Syndicat intercommunal d’enseignement musical de l’agglomération roanna</w:t>
      </w:r>
      <w:r>
        <w:rPr>
          <w:rFonts w:ascii="Arial" w:hAnsi="Arial" w:cs="Arial"/>
          <w:sz w:val="22"/>
          <w:szCs w:val="22"/>
        </w:rPr>
        <w:t>ise (SIEMAR) et ses missions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Considérant que le SIEMAR est inclus en totalité dans le périmètre de la communauté d’agglomération, et que les compétences exercées seront identiques suite au transfert, la dissolution du SIEMAR est automatique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 xml:space="preserve">Considérant que Roannais Agglomération se substitue de plein droit à la date du transfert au SIEMAR, dans toutes les délibérations et actes, qu’il dispose de l’ensemble des biens, des droits, des obligations du SIEMAR, et que le personnel du SIEMAR est repris par la communauté d’agglomération dans les conditions de statuts et d’emploi qui sont les siennes ;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 xml:space="preserve">Considérant que le reste de la compétence facultative </w:t>
      </w:r>
      <w:r>
        <w:rPr>
          <w:rFonts w:ascii="Arial" w:hAnsi="Arial" w:cs="Arial"/>
          <w:sz w:val="22"/>
          <w:szCs w:val="22"/>
        </w:rPr>
        <w:t>"Action culturelle"</w:t>
      </w:r>
      <w:r w:rsidRPr="00117BD3">
        <w:rPr>
          <w:rFonts w:ascii="Arial" w:hAnsi="Arial" w:cs="Arial"/>
          <w:sz w:val="22"/>
          <w:szCs w:val="22"/>
        </w:rPr>
        <w:t xml:space="preserve"> demeure inchangée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 xml:space="preserve">Considérant les avis favorables de la Conférence des maires, en date du 25 janvier 2016, et de la commission </w:t>
      </w:r>
      <w:r>
        <w:rPr>
          <w:rFonts w:ascii="Arial" w:hAnsi="Arial" w:cs="Arial"/>
          <w:sz w:val="22"/>
          <w:szCs w:val="22"/>
        </w:rPr>
        <w:t>"</w:t>
      </w:r>
      <w:r w:rsidRPr="00117BD3">
        <w:rPr>
          <w:rFonts w:ascii="Arial" w:hAnsi="Arial" w:cs="Arial"/>
          <w:sz w:val="22"/>
          <w:szCs w:val="22"/>
        </w:rPr>
        <w:t>Cohésion sociale et action culturelle</w:t>
      </w:r>
      <w:r>
        <w:rPr>
          <w:rFonts w:ascii="Arial" w:hAnsi="Arial" w:cs="Arial"/>
          <w:sz w:val="22"/>
          <w:szCs w:val="22"/>
        </w:rPr>
        <w:t>"</w:t>
      </w:r>
      <w:r w:rsidRPr="00117BD3">
        <w:rPr>
          <w:rFonts w:ascii="Arial" w:hAnsi="Arial" w:cs="Arial"/>
          <w:sz w:val="22"/>
          <w:szCs w:val="22"/>
        </w:rPr>
        <w:t>, en date du 15</w:t>
      </w:r>
      <w:r>
        <w:rPr>
          <w:rFonts w:ascii="Arial" w:hAnsi="Arial" w:cs="Arial"/>
          <w:sz w:val="22"/>
          <w:szCs w:val="22"/>
        </w:rPr>
        <w:t> </w:t>
      </w:r>
      <w:r w:rsidRPr="00117BD3">
        <w:rPr>
          <w:rFonts w:ascii="Arial" w:hAnsi="Arial" w:cs="Arial"/>
          <w:sz w:val="22"/>
          <w:szCs w:val="22"/>
        </w:rPr>
        <w:t>mars 2016 ;</w:t>
      </w:r>
    </w:p>
    <w:p w:rsidR="00117BD3" w:rsidRPr="00117BD3" w:rsidRDefault="00117BD3"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sidRPr="00117BD3">
        <w:rPr>
          <w:rFonts w:ascii="Arial" w:hAnsi="Arial" w:cs="Arial"/>
          <w:sz w:val="22"/>
          <w:szCs w:val="22"/>
        </w:rPr>
        <w:t>Considérant les travaux du comité de pilotage ad hoc ayant mis en évidence la nécessité de mettre en cohérence l’exercice de la compétence enseignement artistique dans le territoire, ceci permettant une meilleure lisibilité et accessibilité de l’offre pour les habitants : harmonisation tarifaire, communication commune, cursus complet dans le territoire.</w:t>
      </w:r>
    </w:p>
    <w:p w:rsidR="00EA6742" w:rsidRDefault="00EA6742"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AD1B9A" w:rsidRDefault="00AD1B9A" w:rsidP="00117BD3">
      <w:pPr>
        <w:tabs>
          <w:tab w:val="left" w:pos="567"/>
        </w:tabs>
        <w:ind w:left="1418"/>
        <w:jc w:val="both"/>
        <w:rPr>
          <w:rFonts w:ascii="Arial" w:hAnsi="Arial" w:cs="Arial"/>
          <w:sz w:val="22"/>
          <w:szCs w:val="22"/>
        </w:rPr>
      </w:pPr>
    </w:p>
    <w:p w:rsidR="00117BD3" w:rsidRDefault="00117BD3" w:rsidP="00117BD3">
      <w:pPr>
        <w:tabs>
          <w:tab w:val="left" w:pos="567"/>
        </w:tabs>
        <w:ind w:left="1418"/>
        <w:jc w:val="both"/>
        <w:rPr>
          <w:rFonts w:ascii="Arial" w:hAnsi="Arial" w:cs="Arial"/>
          <w:sz w:val="22"/>
          <w:szCs w:val="22"/>
        </w:rPr>
      </w:pPr>
      <w:r>
        <w:rPr>
          <w:rFonts w:ascii="Arial" w:hAnsi="Arial" w:cs="Arial"/>
          <w:sz w:val="22"/>
          <w:szCs w:val="22"/>
        </w:rPr>
        <w:t>Après en avoir délibéré, le conseil municipal, à l'unanimité :</w:t>
      </w:r>
    </w:p>
    <w:p w:rsidR="00117BD3" w:rsidRDefault="00117BD3" w:rsidP="00117BD3">
      <w:pPr>
        <w:tabs>
          <w:tab w:val="left" w:pos="567"/>
        </w:tabs>
        <w:ind w:left="1418"/>
        <w:jc w:val="both"/>
        <w:rPr>
          <w:rFonts w:ascii="Arial" w:hAnsi="Arial" w:cs="Arial"/>
          <w:sz w:val="22"/>
          <w:szCs w:val="22"/>
        </w:rPr>
      </w:pPr>
    </w:p>
    <w:p w:rsidR="00117BD3" w:rsidRDefault="00EA6742" w:rsidP="00EA6742">
      <w:pPr>
        <w:pStyle w:val="Sansinterligne"/>
        <w:numPr>
          <w:ilvl w:val="0"/>
          <w:numId w:val="50"/>
        </w:numPr>
        <w:ind w:left="1701" w:hanging="283"/>
        <w:jc w:val="both"/>
        <w:rPr>
          <w:rFonts w:ascii="Arial" w:hAnsi="Arial" w:cs="Arial"/>
        </w:rPr>
      </w:pPr>
      <w:r>
        <w:rPr>
          <w:rFonts w:ascii="Arial" w:hAnsi="Arial" w:cs="Arial"/>
        </w:rPr>
        <w:t>Approuve</w:t>
      </w:r>
      <w:r w:rsidR="00117BD3" w:rsidRPr="00117BD3">
        <w:rPr>
          <w:rFonts w:ascii="Arial" w:hAnsi="Arial" w:cs="Arial"/>
        </w:rPr>
        <w:t xml:space="preserve"> la modification de la compétence facultative action culturelle comme suit : </w:t>
      </w:r>
    </w:p>
    <w:p w:rsidR="00EA6742" w:rsidRPr="00117BD3" w:rsidRDefault="00EA6742" w:rsidP="00EA6742">
      <w:pPr>
        <w:pStyle w:val="Sansinterligne"/>
        <w:ind w:left="1701"/>
        <w:jc w:val="both"/>
        <w:rPr>
          <w:rFonts w:ascii="Arial" w:hAnsi="Arial" w:cs="Arial"/>
        </w:rPr>
      </w:pPr>
    </w:p>
    <w:p w:rsidR="00117BD3" w:rsidRPr="00117BD3" w:rsidRDefault="00EA6742" w:rsidP="00EA6742">
      <w:pPr>
        <w:pStyle w:val="Sansinterligne"/>
        <w:ind w:left="1701"/>
        <w:jc w:val="both"/>
        <w:rPr>
          <w:rFonts w:ascii="Arial" w:hAnsi="Arial" w:cs="Arial"/>
          <w:i/>
        </w:rPr>
      </w:pPr>
      <w:r w:rsidRPr="00CE568D">
        <w:rPr>
          <w:rFonts w:ascii="Arial" w:hAnsi="Arial" w:cs="Arial"/>
          <w:b/>
        </w:rPr>
        <w:t>"</w:t>
      </w:r>
      <w:r w:rsidR="00117BD3" w:rsidRPr="00117BD3">
        <w:rPr>
          <w:rFonts w:ascii="Arial" w:hAnsi="Arial" w:cs="Arial"/>
          <w:i/>
        </w:rPr>
        <w:t>Action culturelle :</w:t>
      </w:r>
    </w:p>
    <w:p w:rsidR="00117BD3" w:rsidRPr="00117BD3" w:rsidRDefault="00117BD3" w:rsidP="00EA6742">
      <w:pPr>
        <w:pStyle w:val="Sansinterligne"/>
        <w:ind w:left="1701"/>
        <w:jc w:val="both"/>
        <w:rPr>
          <w:rFonts w:ascii="Arial" w:hAnsi="Arial" w:cs="Arial"/>
          <w:i/>
        </w:rPr>
      </w:pPr>
      <w:r w:rsidRPr="00117BD3">
        <w:rPr>
          <w:rFonts w:ascii="Arial" w:hAnsi="Arial" w:cs="Arial"/>
          <w:i/>
        </w:rPr>
        <w:t xml:space="preserve">Action culturelle portée par </w:t>
      </w:r>
      <w:r w:rsidR="00EA6742">
        <w:rPr>
          <w:rFonts w:ascii="Arial" w:hAnsi="Arial" w:cs="Arial"/>
          <w:i/>
        </w:rPr>
        <w:t>"La Cure"</w:t>
      </w:r>
      <w:r w:rsidRPr="00117BD3">
        <w:rPr>
          <w:rFonts w:ascii="Arial" w:hAnsi="Arial" w:cs="Arial"/>
          <w:i/>
        </w:rPr>
        <w:t>, située à Saint-Jean-Saint-Maurice-sur-Loire.</w:t>
      </w:r>
    </w:p>
    <w:p w:rsidR="00117BD3" w:rsidRPr="00117BD3" w:rsidRDefault="00117BD3" w:rsidP="00EA6742">
      <w:pPr>
        <w:pStyle w:val="Sansinterligne"/>
        <w:ind w:left="1701"/>
        <w:jc w:val="both"/>
        <w:rPr>
          <w:rFonts w:ascii="Arial" w:hAnsi="Arial" w:cs="Arial"/>
          <w:i/>
        </w:rPr>
      </w:pPr>
      <w:r w:rsidRPr="00117BD3">
        <w:rPr>
          <w:rFonts w:ascii="Arial" w:hAnsi="Arial" w:cs="Arial"/>
          <w:i/>
        </w:rPr>
        <w:t>Définition, mise en œuvre et diffusion territoriale d’une programmation culturelle annuelle.</w:t>
      </w:r>
    </w:p>
    <w:p w:rsidR="00117BD3" w:rsidRPr="00117BD3" w:rsidRDefault="00117BD3" w:rsidP="00EA6742">
      <w:pPr>
        <w:pStyle w:val="Sansinterligne"/>
        <w:ind w:left="1701"/>
        <w:jc w:val="both"/>
        <w:rPr>
          <w:rFonts w:ascii="Arial" w:hAnsi="Arial" w:cs="Arial"/>
          <w:i/>
        </w:rPr>
      </w:pPr>
      <w:r w:rsidRPr="00117BD3">
        <w:rPr>
          <w:rFonts w:ascii="Arial" w:hAnsi="Arial" w:cs="Arial"/>
          <w:i/>
        </w:rPr>
        <w:t xml:space="preserve">Actions relatives aux </w:t>
      </w:r>
      <w:r w:rsidR="00EA6742">
        <w:rPr>
          <w:rFonts w:ascii="Arial" w:hAnsi="Arial" w:cs="Arial"/>
          <w:i/>
        </w:rPr>
        <w:t>"Métiers d’art"</w:t>
      </w:r>
      <w:r w:rsidRPr="00117BD3">
        <w:rPr>
          <w:rFonts w:ascii="Arial" w:hAnsi="Arial" w:cs="Arial"/>
          <w:i/>
        </w:rPr>
        <w:t xml:space="preserve"> sur la commune de Saint-Jean-Saint-Maurice-sur-Loire.</w:t>
      </w:r>
    </w:p>
    <w:p w:rsidR="00117BD3" w:rsidRPr="00117BD3" w:rsidRDefault="00117BD3" w:rsidP="00EA6742">
      <w:pPr>
        <w:pStyle w:val="Sansinterligne"/>
        <w:ind w:left="1701"/>
        <w:jc w:val="both"/>
        <w:rPr>
          <w:rFonts w:ascii="Arial" w:hAnsi="Arial" w:cs="Arial"/>
          <w:i/>
        </w:rPr>
      </w:pPr>
      <w:r w:rsidRPr="00117BD3">
        <w:rPr>
          <w:rFonts w:ascii="Arial" w:hAnsi="Arial" w:cs="Arial"/>
          <w:i/>
        </w:rPr>
        <w:t>Mise en place, suivi et développement d’un outil de mise en réseau informatique des bibliothèques qui s’inscrivent dans le cadre du soutien à l’activité des bibliothèques des communes de moins de 10 000 habitants par le Conseil général de la Loire.</w:t>
      </w:r>
    </w:p>
    <w:p w:rsidR="00117BD3" w:rsidRPr="00117BD3" w:rsidRDefault="00117BD3" w:rsidP="00EA6742">
      <w:pPr>
        <w:pStyle w:val="Sansinterligne"/>
        <w:ind w:left="1701"/>
        <w:jc w:val="both"/>
        <w:rPr>
          <w:rFonts w:ascii="Arial" w:hAnsi="Arial" w:cs="Arial"/>
          <w:i/>
        </w:rPr>
      </w:pPr>
    </w:p>
    <w:p w:rsidR="00117BD3" w:rsidRPr="00117BD3" w:rsidRDefault="00117BD3" w:rsidP="00EA6742">
      <w:pPr>
        <w:pStyle w:val="Sansinterligne"/>
        <w:ind w:left="1701"/>
        <w:jc w:val="both"/>
        <w:rPr>
          <w:rFonts w:ascii="Arial" w:hAnsi="Arial" w:cs="Arial"/>
          <w:b/>
          <w:i/>
        </w:rPr>
      </w:pPr>
      <w:r w:rsidRPr="00117BD3">
        <w:rPr>
          <w:rFonts w:ascii="Arial" w:hAnsi="Arial" w:cs="Arial"/>
          <w:b/>
          <w:i/>
        </w:rPr>
        <w:t>Enseignement artistique </w:t>
      </w:r>
    </w:p>
    <w:p w:rsidR="00117BD3" w:rsidRPr="00117BD3" w:rsidRDefault="00117BD3" w:rsidP="00EA6742">
      <w:pPr>
        <w:pStyle w:val="Sansinterligne"/>
        <w:ind w:left="1701"/>
        <w:jc w:val="both"/>
        <w:rPr>
          <w:rFonts w:ascii="Arial" w:hAnsi="Arial" w:cs="Arial"/>
          <w:b/>
          <w:i/>
        </w:rPr>
      </w:pPr>
      <w:r w:rsidRPr="00117BD3">
        <w:rPr>
          <w:rFonts w:ascii="Arial" w:hAnsi="Arial" w:cs="Arial"/>
          <w:b/>
          <w:i/>
        </w:rPr>
        <w:t xml:space="preserve">La communauté d'agglomération est compétente pour l’enseignement artistique reconnu par le département (schéma départemental de développement des enseignements artistiques) ou par le ministère de la culture (conservatoire). </w:t>
      </w:r>
    </w:p>
    <w:p w:rsidR="00117BD3" w:rsidRPr="00117BD3" w:rsidRDefault="00117BD3" w:rsidP="00EA6742">
      <w:pPr>
        <w:pStyle w:val="Sansinterligne"/>
        <w:ind w:left="1701"/>
        <w:jc w:val="both"/>
        <w:rPr>
          <w:rFonts w:ascii="Arial" w:hAnsi="Arial" w:cs="Arial"/>
          <w:b/>
          <w:i/>
        </w:rPr>
      </w:pPr>
      <w:r w:rsidRPr="00117BD3">
        <w:rPr>
          <w:rFonts w:ascii="Arial" w:hAnsi="Arial" w:cs="Arial"/>
          <w:b/>
          <w:i/>
        </w:rPr>
        <w:t>La communauté d’agglomération est compétente pour les interventions musicales en milieu scolaire sur le temps scolaire en partenariat avec les établissements scolaires dans les communes de moins de 5</w:t>
      </w:r>
      <w:r w:rsidR="00EA6742">
        <w:rPr>
          <w:rFonts w:ascii="Arial" w:hAnsi="Arial" w:cs="Arial"/>
          <w:b/>
          <w:i/>
        </w:rPr>
        <w:t xml:space="preserve"> </w:t>
      </w:r>
      <w:r w:rsidRPr="00117BD3">
        <w:rPr>
          <w:rFonts w:ascii="Arial" w:hAnsi="Arial" w:cs="Arial"/>
          <w:b/>
          <w:i/>
        </w:rPr>
        <w:t>000 habitants.</w:t>
      </w:r>
    </w:p>
    <w:p w:rsidR="00117BD3" w:rsidRPr="00117BD3" w:rsidRDefault="00117BD3" w:rsidP="00EA6742">
      <w:pPr>
        <w:pStyle w:val="Sansinterligne"/>
        <w:ind w:left="1701"/>
        <w:jc w:val="both"/>
        <w:rPr>
          <w:rFonts w:ascii="Arial" w:hAnsi="Arial" w:cs="Arial"/>
          <w:i/>
        </w:rPr>
      </w:pPr>
    </w:p>
    <w:p w:rsidR="00117BD3" w:rsidRPr="00117BD3" w:rsidRDefault="00117BD3" w:rsidP="00EA6742">
      <w:pPr>
        <w:pStyle w:val="Sansinterligne"/>
        <w:ind w:left="1701"/>
        <w:jc w:val="both"/>
        <w:rPr>
          <w:rFonts w:ascii="Arial" w:hAnsi="Arial" w:cs="Arial"/>
          <w:i/>
        </w:rPr>
      </w:pPr>
      <w:r w:rsidRPr="00117BD3">
        <w:rPr>
          <w:rFonts w:ascii="Arial" w:hAnsi="Arial" w:cs="Arial"/>
          <w:i/>
        </w:rPr>
        <w:t>Evènements musicaux</w:t>
      </w:r>
    </w:p>
    <w:p w:rsidR="00117BD3" w:rsidRPr="00117BD3" w:rsidRDefault="00117BD3" w:rsidP="00EA6742">
      <w:pPr>
        <w:pStyle w:val="Sansinterligne"/>
        <w:ind w:left="1701"/>
        <w:jc w:val="both"/>
        <w:rPr>
          <w:rFonts w:ascii="Arial" w:hAnsi="Arial" w:cs="Arial"/>
          <w:i/>
        </w:rPr>
      </w:pPr>
      <w:r w:rsidRPr="00117BD3">
        <w:rPr>
          <w:rFonts w:ascii="Arial" w:hAnsi="Arial" w:cs="Arial"/>
          <w:i/>
        </w:rPr>
        <w:t>La communauté d’agglomération intervient seulement dans le cadre d’évènements musicaux organisés sur au moins deux communes de moins de 5</w:t>
      </w:r>
      <w:r w:rsidR="00EA6742">
        <w:rPr>
          <w:rFonts w:ascii="Arial" w:hAnsi="Arial" w:cs="Arial"/>
          <w:i/>
        </w:rPr>
        <w:t> </w:t>
      </w:r>
      <w:r w:rsidRPr="00117BD3">
        <w:rPr>
          <w:rFonts w:ascii="Arial" w:hAnsi="Arial" w:cs="Arial"/>
          <w:i/>
        </w:rPr>
        <w:t>000 habitants, par des associations du territoire, et uniquement sur le volet prestations artistiques.</w:t>
      </w:r>
    </w:p>
    <w:p w:rsidR="00117BD3" w:rsidRPr="00117BD3" w:rsidRDefault="00117BD3" w:rsidP="00EA6742">
      <w:pPr>
        <w:pStyle w:val="Sansinterligne"/>
        <w:ind w:left="1701"/>
        <w:jc w:val="both"/>
        <w:rPr>
          <w:rFonts w:ascii="Arial" w:hAnsi="Arial" w:cs="Arial"/>
          <w:i/>
        </w:rPr>
      </w:pPr>
    </w:p>
    <w:p w:rsidR="00117BD3" w:rsidRPr="00117BD3" w:rsidRDefault="00117BD3" w:rsidP="00EA6742">
      <w:pPr>
        <w:pStyle w:val="Sansinterligne"/>
        <w:ind w:left="1701"/>
        <w:jc w:val="both"/>
        <w:rPr>
          <w:rFonts w:ascii="Arial" w:hAnsi="Arial" w:cs="Arial"/>
          <w:i/>
        </w:rPr>
      </w:pPr>
      <w:r w:rsidRPr="00117BD3">
        <w:rPr>
          <w:rFonts w:ascii="Arial" w:hAnsi="Arial" w:cs="Arial"/>
          <w:i/>
        </w:rPr>
        <w:t xml:space="preserve">Démarche </w:t>
      </w:r>
      <w:r w:rsidR="00EA6742">
        <w:rPr>
          <w:rFonts w:ascii="Arial" w:hAnsi="Arial" w:cs="Arial"/>
          <w:i/>
        </w:rPr>
        <w:t>"Village de Caractère"</w:t>
      </w:r>
    </w:p>
    <w:p w:rsidR="00117BD3" w:rsidRPr="00117BD3" w:rsidRDefault="00117BD3" w:rsidP="00EA6742">
      <w:pPr>
        <w:pStyle w:val="Sansinterligne"/>
        <w:ind w:left="1701"/>
        <w:jc w:val="both"/>
        <w:rPr>
          <w:rFonts w:ascii="Arial" w:hAnsi="Arial" w:cs="Arial"/>
          <w:i/>
        </w:rPr>
      </w:pPr>
      <w:r w:rsidRPr="00117BD3">
        <w:rPr>
          <w:rFonts w:ascii="Arial" w:hAnsi="Arial" w:cs="Arial"/>
          <w:i/>
        </w:rPr>
        <w:t xml:space="preserve">Dans le cadre d’évènementiels et de programmations pour l’animation des communes labellisées par le Conseil général de la Loire </w:t>
      </w:r>
      <w:r w:rsidR="00EA6742">
        <w:rPr>
          <w:rFonts w:ascii="Arial" w:hAnsi="Arial" w:cs="Arial"/>
          <w:i/>
        </w:rPr>
        <w:t>"</w:t>
      </w:r>
      <w:r w:rsidRPr="00117BD3">
        <w:rPr>
          <w:rFonts w:ascii="Arial" w:hAnsi="Arial" w:cs="Arial"/>
          <w:i/>
        </w:rPr>
        <w:t>Village de caractère</w:t>
      </w:r>
      <w:r w:rsidR="00EA6742">
        <w:rPr>
          <w:rFonts w:ascii="Arial" w:hAnsi="Arial" w:cs="Arial"/>
          <w:i/>
        </w:rPr>
        <w:t>"</w:t>
      </w:r>
      <w:r w:rsidRPr="00117BD3">
        <w:rPr>
          <w:rFonts w:ascii="Arial" w:hAnsi="Arial" w:cs="Arial"/>
          <w:i/>
        </w:rPr>
        <w:t>, la communauté d’agglomération intervient uniquement sur le volet prestations artistiques.</w:t>
      </w:r>
    </w:p>
    <w:p w:rsidR="00117BD3" w:rsidRPr="00117BD3" w:rsidRDefault="00117BD3" w:rsidP="00EA6742">
      <w:pPr>
        <w:pStyle w:val="Sansinterligne"/>
        <w:ind w:left="1701"/>
        <w:jc w:val="both"/>
        <w:rPr>
          <w:rFonts w:ascii="Arial" w:hAnsi="Arial" w:cs="Arial"/>
          <w:i/>
        </w:rPr>
      </w:pPr>
    </w:p>
    <w:p w:rsidR="00117BD3" w:rsidRPr="00117BD3" w:rsidRDefault="00117BD3" w:rsidP="00EA6742">
      <w:pPr>
        <w:pStyle w:val="Sansinterligne"/>
        <w:ind w:left="1701"/>
        <w:jc w:val="both"/>
        <w:rPr>
          <w:rFonts w:ascii="Arial" w:hAnsi="Arial" w:cs="Arial"/>
          <w:i/>
        </w:rPr>
      </w:pPr>
      <w:r w:rsidRPr="00117BD3">
        <w:rPr>
          <w:rFonts w:ascii="Arial" w:hAnsi="Arial" w:cs="Arial"/>
          <w:i/>
        </w:rPr>
        <w:t>Pour le Musée Alice Taverne, à statut associatif et labellisé Musée de France, situé sur la commune d’Ambierle, la communauté d’agglomération intervient uniquement sur le volet communication et opération de promotion.</w:t>
      </w:r>
    </w:p>
    <w:p w:rsidR="00117BD3" w:rsidRPr="00117BD3" w:rsidRDefault="00117BD3" w:rsidP="00EA6742">
      <w:pPr>
        <w:pStyle w:val="Sansinterligne"/>
        <w:ind w:left="1701"/>
        <w:jc w:val="both"/>
        <w:rPr>
          <w:rFonts w:ascii="Arial" w:hAnsi="Arial" w:cs="Arial"/>
          <w:i/>
        </w:rPr>
      </w:pPr>
    </w:p>
    <w:p w:rsidR="00117BD3" w:rsidRPr="00117BD3" w:rsidRDefault="00117BD3" w:rsidP="00EA6742">
      <w:pPr>
        <w:pStyle w:val="Sansinterligne"/>
        <w:ind w:left="1701"/>
        <w:jc w:val="both"/>
        <w:rPr>
          <w:rFonts w:ascii="Arial" w:hAnsi="Arial" w:cs="Arial"/>
          <w:i/>
        </w:rPr>
      </w:pPr>
      <w:r w:rsidRPr="00117BD3">
        <w:rPr>
          <w:rFonts w:ascii="Arial" w:hAnsi="Arial" w:cs="Arial"/>
          <w:i/>
        </w:rPr>
        <w:t>Arts plastiques</w:t>
      </w:r>
    </w:p>
    <w:p w:rsidR="00117BD3" w:rsidRPr="00117BD3" w:rsidRDefault="00117BD3" w:rsidP="00EA6742">
      <w:pPr>
        <w:pStyle w:val="Sansinterligne"/>
        <w:ind w:left="1701"/>
        <w:jc w:val="both"/>
        <w:rPr>
          <w:rFonts w:ascii="Arial" w:hAnsi="Arial" w:cs="Arial"/>
          <w:i/>
        </w:rPr>
      </w:pPr>
      <w:r w:rsidRPr="00117BD3">
        <w:rPr>
          <w:rFonts w:ascii="Arial" w:hAnsi="Arial" w:cs="Arial"/>
          <w:i/>
        </w:rPr>
        <w:t xml:space="preserve">La communauté d’agglomération est compétente pour le </w:t>
      </w:r>
      <w:r w:rsidR="00EA6742">
        <w:rPr>
          <w:rFonts w:ascii="Arial" w:hAnsi="Arial" w:cs="Arial"/>
          <w:i/>
        </w:rPr>
        <w:t>"Festival aquarelle"</w:t>
      </w:r>
      <w:r w:rsidRPr="00117BD3">
        <w:rPr>
          <w:rFonts w:ascii="Arial" w:hAnsi="Arial" w:cs="Arial"/>
          <w:i/>
        </w:rPr>
        <w:t xml:space="preserve"> organisé à Pouilly les Nonains et intervient uniquement sur le volet prestations artistiques.</w:t>
      </w:r>
    </w:p>
    <w:p w:rsidR="00AD1B9A" w:rsidRPr="00117BD3" w:rsidRDefault="00AD1B9A" w:rsidP="00EA6742">
      <w:pPr>
        <w:pStyle w:val="Sansinterligne"/>
        <w:ind w:left="1701"/>
        <w:jc w:val="both"/>
        <w:rPr>
          <w:rFonts w:ascii="Arial" w:hAnsi="Arial" w:cs="Arial"/>
          <w:i/>
        </w:rPr>
      </w:pPr>
    </w:p>
    <w:p w:rsidR="00117BD3" w:rsidRPr="00117BD3" w:rsidRDefault="00117BD3" w:rsidP="00EA6742">
      <w:pPr>
        <w:pStyle w:val="Sansinterligne"/>
        <w:ind w:left="1701"/>
        <w:jc w:val="both"/>
        <w:rPr>
          <w:rFonts w:ascii="Arial" w:hAnsi="Arial" w:cs="Arial"/>
          <w:i/>
        </w:rPr>
      </w:pPr>
      <w:r w:rsidRPr="00117BD3">
        <w:rPr>
          <w:rFonts w:ascii="Arial" w:hAnsi="Arial" w:cs="Arial"/>
          <w:i/>
        </w:rPr>
        <w:t>Diffusion cinématographique</w:t>
      </w:r>
    </w:p>
    <w:p w:rsidR="00117BD3" w:rsidRPr="00CE568D" w:rsidRDefault="00117BD3" w:rsidP="00EA6742">
      <w:pPr>
        <w:pStyle w:val="Sansinterligne"/>
        <w:ind w:left="1701"/>
        <w:jc w:val="both"/>
        <w:rPr>
          <w:rFonts w:ascii="Arial" w:hAnsi="Arial" w:cs="Arial"/>
          <w:b/>
        </w:rPr>
      </w:pPr>
      <w:r w:rsidRPr="00117BD3">
        <w:rPr>
          <w:rFonts w:ascii="Arial" w:hAnsi="Arial" w:cs="Arial"/>
          <w:i/>
        </w:rPr>
        <w:t xml:space="preserve">Actions de diffusion cinématographique, dans les </w:t>
      </w:r>
      <w:proofErr w:type="gramStart"/>
      <w:r w:rsidRPr="00117BD3">
        <w:rPr>
          <w:rFonts w:ascii="Arial" w:hAnsi="Arial" w:cs="Arial"/>
          <w:i/>
        </w:rPr>
        <w:t>communes</w:t>
      </w:r>
      <w:proofErr w:type="gramEnd"/>
      <w:r w:rsidRPr="00117BD3">
        <w:rPr>
          <w:rFonts w:ascii="Arial" w:hAnsi="Arial" w:cs="Arial"/>
          <w:i/>
        </w:rPr>
        <w:t xml:space="preserve"> membres de moins de 2 500 habitants, à l’exception de la mise à disposition de locaux. La communauté d’agglomération n’est pas compétente pour le festival international du court métrage d’animation organisé par la Ville de Roanne.</w:t>
      </w:r>
      <w:r w:rsidR="00CE568D">
        <w:rPr>
          <w:rFonts w:ascii="Arial" w:hAnsi="Arial" w:cs="Arial"/>
          <w:b/>
        </w:rPr>
        <w:t>"</w:t>
      </w:r>
    </w:p>
    <w:p w:rsidR="00117BD3" w:rsidRDefault="00117BD3" w:rsidP="00117BD3">
      <w:pPr>
        <w:pStyle w:val="Sansinterligne"/>
        <w:ind w:left="1418"/>
        <w:jc w:val="both"/>
        <w:rPr>
          <w:rFonts w:ascii="Arial" w:hAnsi="Arial" w:cs="Arial"/>
        </w:rPr>
      </w:pPr>
    </w:p>
    <w:p w:rsidR="008022DB" w:rsidRDefault="008022DB" w:rsidP="00117BD3">
      <w:pPr>
        <w:pStyle w:val="Sansinterligne"/>
        <w:ind w:left="1418"/>
        <w:jc w:val="both"/>
        <w:rPr>
          <w:rFonts w:ascii="Arial" w:hAnsi="Arial" w:cs="Arial"/>
        </w:rPr>
      </w:pPr>
    </w:p>
    <w:p w:rsidR="008022DB" w:rsidRDefault="008022DB" w:rsidP="00117BD3">
      <w:pPr>
        <w:pStyle w:val="Sansinterligne"/>
        <w:ind w:left="1418"/>
        <w:jc w:val="both"/>
        <w:rPr>
          <w:rFonts w:ascii="Arial" w:hAnsi="Arial" w:cs="Arial"/>
        </w:rPr>
      </w:pPr>
    </w:p>
    <w:p w:rsidR="008022DB" w:rsidRPr="00EA6742" w:rsidRDefault="008022DB" w:rsidP="00117BD3">
      <w:pPr>
        <w:pStyle w:val="Sansinterligne"/>
        <w:ind w:left="1418"/>
        <w:jc w:val="both"/>
        <w:rPr>
          <w:rFonts w:ascii="Arial" w:hAnsi="Arial" w:cs="Arial"/>
        </w:rPr>
      </w:pPr>
    </w:p>
    <w:p w:rsidR="00117BD3" w:rsidRPr="00117BD3" w:rsidRDefault="00EA6742" w:rsidP="00EA6742">
      <w:pPr>
        <w:pStyle w:val="Sansinterligne"/>
        <w:ind w:left="1701" w:hanging="283"/>
        <w:jc w:val="both"/>
        <w:rPr>
          <w:rFonts w:ascii="Arial" w:hAnsi="Arial" w:cs="Arial"/>
        </w:rPr>
      </w:pPr>
      <w:r>
        <w:rPr>
          <w:rFonts w:ascii="Arial" w:hAnsi="Arial" w:cs="Arial"/>
        </w:rPr>
        <w:t>2. précise</w:t>
      </w:r>
      <w:r w:rsidR="00117BD3" w:rsidRPr="00117BD3">
        <w:rPr>
          <w:rFonts w:ascii="Arial" w:hAnsi="Arial" w:cs="Arial"/>
        </w:rPr>
        <w:t xml:space="preserve"> que le transfert de la compétence facultative définie ci-dessus prendra effet au 1</w:t>
      </w:r>
      <w:r w:rsidR="00117BD3" w:rsidRPr="00117BD3">
        <w:rPr>
          <w:rFonts w:ascii="Arial" w:hAnsi="Arial" w:cs="Arial"/>
          <w:vertAlign w:val="superscript"/>
        </w:rPr>
        <w:t>er</w:t>
      </w:r>
      <w:r w:rsidR="00117BD3" w:rsidRPr="00117BD3">
        <w:rPr>
          <w:rFonts w:ascii="Arial" w:hAnsi="Arial" w:cs="Arial"/>
        </w:rPr>
        <w:t xml:space="preserve"> septembre 2016 ;</w:t>
      </w:r>
    </w:p>
    <w:p w:rsidR="00117BD3" w:rsidRPr="00117BD3" w:rsidRDefault="00117BD3" w:rsidP="00117BD3">
      <w:pPr>
        <w:pStyle w:val="Sansinterligne"/>
        <w:ind w:left="1418"/>
        <w:jc w:val="both"/>
        <w:rPr>
          <w:rFonts w:ascii="Arial" w:hAnsi="Arial" w:cs="Arial"/>
        </w:rPr>
      </w:pPr>
    </w:p>
    <w:p w:rsidR="00117BD3" w:rsidRPr="00117BD3" w:rsidRDefault="00EA6742" w:rsidP="00EA6742">
      <w:pPr>
        <w:pStyle w:val="Sansinterligne"/>
        <w:ind w:left="1701" w:hanging="283"/>
        <w:jc w:val="both"/>
        <w:rPr>
          <w:rFonts w:ascii="Arial" w:hAnsi="Arial" w:cs="Arial"/>
        </w:rPr>
      </w:pPr>
      <w:r>
        <w:rPr>
          <w:rFonts w:ascii="Arial" w:hAnsi="Arial" w:cs="Arial"/>
        </w:rPr>
        <w:t>3. demande</w:t>
      </w:r>
      <w:r w:rsidR="00117BD3" w:rsidRPr="00117BD3">
        <w:rPr>
          <w:rFonts w:ascii="Arial" w:hAnsi="Arial" w:cs="Arial"/>
        </w:rPr>
        <w:t xml:space="preserve"> au Maire de transmettre cette délibération du conseil municipal à </w:t>
      </w:r>
      <w:r>
        <w:rPr>
          <w:rFonts w:ascii="Arial" w:hAnsi="Arial" w:cs="Arial"/>
        </w:rPr>
        <w:t>monsieur</w:t>
      </w:r>
      <w:r w:rsidR="00117BD3" w:rsidRPr="00117BD3">
        <w:rPr>
          <w:rFonts w:ascii="Arial" w:hAnsi="Arial" w:cs="Arial"/>
        </w:rPr>
        <w:t xml:space="preserve"> le </w:t>
      </w:r>
      <w:proofErr w:type="spellStart"/>
      <w:r w:rsidR="00117BD3" w:rsidRPr="00117BD3">
        <w:rPr>
          <w:rFonts w:ascii="Arial" w:hAnsi="Arial" w:cs="Arial"/>
        </w:rPr>
        <w:t>Sous-Préfet</w:t>
      </w:r>
      <w:proofErr w:type="spellEnd"/>
      <w:r w:rsidR="00117BD3" w:rsidRPr="00117BD3">
        <w:rPr>
          <w:rFonts w:ascii="Arial" w:hAnsi="Arial" w:cs="Arial"/>
        </w:rPr>
        <w:t xml:space="preserve"> de Roanne ; </w:t>
      </w:r>
    </w:p>
    <w:p w:rsidR="00117BD3" w:rsidRPr="00117BD3" w:rsidRDefault="00117BD3" w:rsidP="00EA6742">
      <w:pPr>
        <w:pStyle w:val="Sansinterligne"/>
        <w:ind w:left="1418"/>
        <w:jc w:val="both"/>
        <w:rPr>
          <w:rFonts w:ascii="Arial" w:hAnsi="Arial" w:cs="Arial"/>
        </w:rPr>
      </w:pPr>
    </w:p>
    <w:p w:rsidR="00117BD3" w:rsidRPr="00117BD3" w:rsidRDefault="00EA6742" w:rsidP="00EA6742">
      <w:pPr>
        <w:pStyle w:val="Sansinterligne"/>
        <w:ind w:left="1701" w:hanging="283"/>
        <w:jc w:val="both"/>
        <w:rPr>
          <w:rFonts w:ascii="Arial" w:hAnsi="Arial" w:cs="Arial"/>
        </w:rPr>
      </w:pPr>
      <w:r>
        <w:rPr>
          <w:rFonts w:ascii="Arial" w:hAnsi="Arial" w:cs="Arial"/>
        </w:rPr>
        <w:t xml:space="preserve">4. </w:t>
      </w:r>
      <w:r w:rsidR="00117BD3" w:rsidRPr="00117BD3">
        <w:rPr>
          <w:rFonts w:ascii="Arial" w:hAnsi="Arial" w:cs="Arial"/>
        </w:rPr>
        <w:t xml:space="preserve">demande au Maire de transmettre cette délibération du conseil municipal au Président de Roannais Agglomération. </w:t>
      </w:r>
    </w:p>
    <w:p w:rsidR="00117BD3" w:rsidRPr="00117BD3" w:rsidRDefault="00117BD3" w:rsidP="00117BD3">
      <w:pPr>
        <w:pStyle w:val="Paragraphedeliste"/>
        <w:ind w:left="1418"/>
        <w:contextualSpacing w:val="0"/>
        <w:jc w:val="both"/>
        <w:rPr>
          <w:rFonts w:ascii="Arial" w:hAnsi="Arial" w:cs="Arial"/>
          <w:sz w:val="22"/>
          <w:szCs w:val="22"/>
        </w:rPr>
      </w:pPr>
    </w:p>
    <w:p w:rsidR="009D5E54" w:rsidRDefault="009D5E54" w:rsidP="00117BD3">
      <w:pPr>
        <w:ind w:left="1418"/>
        <w:jc w:val="both"/>
        <w:rPr>
          <w:rFonts w:ascii="Arial" w:hAnsi="Arial" w:cs="Arial"/>
          <w:sz w:val="22"/>
          <w:szCs w:val="22"/>
        </w:rPr>
      </w:pPr>
    </w:p>
    <w:p w:rsidR="00EA6742" w:rsidRPr="00117BD3" w:rsidRDefault="00EA6742" w:rsidP="00117BD3">
      <w:pPr>
        <w:ind w:left="1418"/>
        <w:jc w:val="both"/>
        <w:rPr>
          <w:rFonts w:ascii="Arial" w:hAnsi="Arial" w:cs="Arial"/>
          <w:sz w:val="22"/>
          <w:szCs w:val="22"/>
        </w:rPr>
      </w:pPr>
    </w:p>
    <w:sectPr w:rsidR="00EA6742" w:rsidRPr="00117BD3" w:rsidSect="00AD1B9A">
      <w:footerReference w:type="default" r:id="rId7"/>
      <w:footerReference w:type="first" r:id="rId8"/>
      <w:pgSz w:w="11907" w:h="16840"/>
      <w:pgMar w:top="567" w:right="1701" w:bottom="1985"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51" w:rsidRDefault="00916451">
      <w:r>
        <w:separator/>
      </w:r>
    </w:p>
  </w:endnote>
  <w:endnote w:type="continuationSeparator" w:id="0">
    <w:p w:rsidR="00916451" w:rsidRDefault="009164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51" w:rsidRDefault="00502572" w:rsidP="00AD1B9A">
    <w:pPr>
      <w:pStyle w:val="Pieddepage"/>
      <w:jc w:val="center"/>
    </w:pPr>
    <w:fldSimple w:instr=" page ">
      <w:r w:rsidR="00D24738">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51" w:rsidRDefault="00502572" w:rsidP="00AD1B9A">
    <w:pPr>
      <w:pStyle w:val="Pieddepage"/>
      <w:tabs>
        <w:tab w:val="clear" w:pos="4536"/>
      </w:tabs>
      <w:jc w:val="center"/>
    </w:pPr>
    <w:fldSimple w:instr=" page ">
      <w:r w:rsidR="00D2473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51" w:rsidRDefault="00916451">
      <w:r>
        <w:separator/>
      </w:r>
    </w:p>
  </w:footnote>
  <w:footnote w:type="continuationSeparator" w:id="0">
    <w:p w:rsidR="00916451" w:rsidRDefault="00916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4B053A5"/>
    <w:multiLevelType w:val="hybridMultilevel"/>
    <w:tmpl w:val="2CFAEAB2"/>
    <w:lvl w:ilvl="0" w:tplc="040C000F">
      <w:start w:val="1"/>
      <w:numFmt w:val="decimal"/>
      <w:lvlText w:val="%1."/>
      <w:lvlJc w:val="left"/>
      <w:pPr>
        <w:ind w:left="720" w:hanging="360"/>
      </w:p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29D2184"/>
    <w:multiLevelType w:val="hybridMultilevel"/>
    <w:tmpl w:val="84F2DD50"/>
    <w:lvl w:ilvl="0" w:tplc="79FC246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nsid w:val="236061B0"/>
    <w:multiLevelType w:val="hybridMultilevel"/>
    <w:tmpl w:val="CCB855C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73856AC"/>
    <w:multiLevelType w:val="hybridMultilevel"/>
    <w:tmpl w:val="B994081C"/>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83238DA"/>
    <w:multiLevelType w:val="hybridMultilevel"/>
    <w:tmpl w:val="9D96143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8753A64"/>
    <w:multiLevelType w:val="hybridMultilevel"/>
    <w:tmpl w:val="BDE20028"/>
    <w:lvl w:ilvl="0" w:tplc="040C000F">
      <w:start w:val="1"/>
      <w:numFmt w:val="decimal"/>
      <w:lvlText w:val="%1."/>
      <w:lvlJc w:val="left"/>
      <w:pPr>
        <w:ind w:left="720" w:hanging="360"/>
      </w:pPr>
    </w:lvl>
    <w:lvl w:ilvl="1" w:tplc="103EA1C8">
      <w:numFmt w:val="bullet"/>
      <w:lvlText w:val=""/>
      <w:lvlJc w:val="left"/>
      <w:pPr>
        <w:ind w:left="1440" w:hanging="360"/>
      </w:pPr>
      <w:rPr>
        <w:rFonts w:ascii="Wingdings" w:eastAsia="Times New Roman"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8E04845"/>
    <w:multiLevelType w:val="hybridMultilevel"/>
    <w:tmpl w:val="33BE54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B7B4BB0"/>
    <w:multiLevelType w:val="hybridMultilevel"/>
    <w:tmpl w:val="C1AA1C30"/>
    <w:lvl w:ilvl="0" w:tplc="103EA1C8">
      <w:numFmt w:val="bullet"/>
      <w:lvlText w:val=""/>
      <w:lvlJc w:val="left"/>
      <w:pPr>
        <w:ind w:left="2138" w:hanging="360"/>
      </w:pPr>
      <w:rPr>
        <w:rFonts w:ascii="Wingdings" w:eastAsia="Times New Roman"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22">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3">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4">
    <w:nsid w:val="3BBA0DF7"/>
    <w:multiLevelType w:val="hybridMultilevel"/>
    <w:tmpl w:val="E1B22BBE"/>
    <w:lvl w:ilvl="0" w:tplc="44142B8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7">
    <w:nsid w:val="40791737"/>
    <w:multiLevelType w:val="singleLevel"/>
    <w:tmpl w:val="040C000F"/>
    <w:lvl w:ilvl="0">
      <w:start w:val="1"/>
      <w:numFmt w:val="decimal"/>
      <w:lvlText w:val="%1."/>
      <w:lvlJc w:val="left"/>
      <w:pPr>
        <w:tabs>
          <w:tab w:val="num" w:pos="360"/>
        </w:tabs>
        <w:ind w:left="360" w:hanging="360"/>
      </w:pPr>
    </w:lvl>
  </w:abstractNum>
  <w:abstractNum w:abstractNumId="28">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9">
    <w:nsid w:val="4578602D"/>
    <w:multiLevelType w:val="hybridMultilevel"/>
    <w:tmpl w:val="531E14E4"/>
    <w:lvl w:ilvl="0" w:tplc="7A6AC07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1">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32">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3">
    <w:nsid w:val="4CEC4B00"/>
    <w:multiLevelType w:val="singleLevel"/>
    <w:tmpl w:val="040C000F"/>
    <w:lvl w:ilvl="0">
      <w:start w:val="1"/>
      <w:numFmt w:val="decimal"/>
      <w:lvlText w:val="%1."/>
      <w:lvlJc w:val="left"/>
      <w:pPr>
        <w:tabs>
          <w:tab w:val="num" w:pos="360"/>
        </w:tabs>
        <w:ind w:left="360" w:hanging="360"/>
      </w:pPr>
    </w:lvl>
  </w:abstractNum>
  <w:abstractNum w:abstractNumId="34">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5">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6">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7">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8">
    <w:nsid w:val="64F7315D"/>
    <w:multiLevelType w:val="hybridMultilevel"/>
    <w:tmpl w:val="D33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0">
    <w:nsid w:val="71411BE2"/>
    <w:multiLevelType w:val="hybridMultilevel"/>
    <w:tmpl w:val="C00E8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1">
    <w:nsid w:val="714F2CDF"/>
    <w:multiLevelType w:val="hybridMultilevel"/>
    <w:tmpl w:val="65083EEC"/>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2">
    <w:nsid w:val="725B708F"/>
    <w:multiLevelType w:val="hybridMultilevel"/>
    <w:tmpl w:val="CA941612"/>
    <w:lvl w:ilvl="0" w:tplc="04B86868">
      <w:start w:val="1"/>
      <w:numFmt w:val="decimal"/>
      <w:lvlText w:val="%1."/>
      <w:lvlJc w:val="left"/>
      <w:pPr>
        <w:ind w:left="1778" w:hanging="360"/>
      </w:pPr>
      <w:rPr>
        <w:rFonts w:ascii="Arial" w:hAnsi="Arial" w:cs="Arial"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3">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4">
    <w:nsid w:val="75F17628"/>
    <w:multiLevelType w:val="hybridMultilevel"/>
    <w:tmpl w:val="9BE8AF10"/>
    <w:lvl w:ilvl="0" w:tplc="A756FD2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5">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6">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7">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32"/>
  </w:num>
  <w:num w:numId="3">
    <w:abstractNumId w:val="9"/>
  </w:num>
  <w:num w:numId="4">
    <w:abstractNumId w:val="23"/>
  </w:num>
  <w:num w:numId="5">
    <w:abstractNumId w:val="0"/>
  </w:num>
  <w:num w:numId="6">
    <w:abstractNumId w:val="33"/>
  </w:num>
  <w:num w:numId="7">
    <w:abstractNumId w:val="28"/>
  </w:num>
  <w:num w:numId="8">
    <w:abstractNumId w:val="22"/>
  </w:num>
  <w:num w:numId="9">
    <w:abstractNumId w:val="26"/>
  </w:num>
  <w:num w:numId="10">
    <w:abstractNumId w:val="7"/>
  </w:num>
  <w:num w:numId="11">
    <w:abstractNumId w:val="30"/>
  </w:num>
  <w:num w:numId="12">
    <w:abstractNumId w:val="37"/>
  </w:num>
  <w:num w:numId="13">
    <w:abstractNumId w:val="6"/>
  </w:num>
  <w:num w:numId="14">
    <w:abstractNumId w:val="45"/>
  </w:num>
  <w:num w:numId="15">
    <w:abstractNumId w:val="43"/>
  </w:num>
  <w:num w:numId="16">
    <w:abstractNumId w:val="46"/>
  </w:num>
  <w:num w:numId="17">
    <w:abstractNumId w:val="27"/>
  </w:num>
  <w:num w:numId="18">
    <w:abstractNumId w:val="31"/>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47"/>
  </w:num>
  <w:num w:numId="24">
    <w:abstractNumId w:val="15"/>
  </w:num>
  <w:num w:numId="25">
    <w:abstractNumId w:val="4"/>
  </w:num>
  <w:num w:numId="26">
    <w:abstractNumId w:val="39"/>
  </w:num>
  <w:num w:numId="27">
    <w:abstractNumId w:val="5"/>
  </w:num>
  <w:num w:numId="28">
    <w:abstractNumId w:val="35"/>
  </w:num>
  <w:num w:numId="29">
    <w:abstractNumId w:val="12"/>
  </w:num>
  <w:num w:numId="30">
    <w:abstractNumId w:val="27"/>
    <w:lvlOverride w:ilvl="0">
      <w:startOverride w:val="1"/>
    </w:lvlOverride>
  </w:num>
  <w:num w:numId="31">
    <w:abstractNumId w:val="25"/>
  </w:num>
  <w:num w:numId="32">
    <w:abstractNumId w:val="2"/>
  </w:num>
  <w:num w:numId="33">
    <w:abstractNumId w:val="36"/>
  </w:num>
  <w:num w:numId="34">
    <w:abstractNumId w:val="34"/>
  </w:num>
  <w:num w:numId="35">
    <w:abstractNumId w:val="21"/>
  </w:num>
  <w:num w:numId="36">
    <w:abstractNumId w:val="40"/>
  </w:num>
  <w:num w:numId="37">
    <w:abstractNumId w:val="44"/>
  </w:num>
  <w:num w:numId="38">
    <w:abstractNumId w:val="42"/>
  </w:num>
  <w:num w:numId="39">
    <w:abstractNumId w:val="14"/>
  </w:num>
  <w:num w:numId="40">
    <w:abstractNumId w:val="13"/>
  </w:num>
  <w:num w:numId="41">
    <w:abstractNumId w:val="38"/>
  </w:num>
  <w:num w:numId="42">
    <w:abstractNumId w:val="19"/>
  </w:num>
  <w:num w:numId="43">
    <w:abstractNumId w:val="24"/>
  </w:num>
  <w:num w:numId="44">
    <w:abstractNumId w:val="17"/>
  </w:num>
  <w:num w:numId="45">
    <w:abstractNumId w:val="16"/>
  </w:num>
  <w:num w:numId="46">
    <w:abstractNumId w:val="11"/>
  </w:num>
  <w:num w:numId="47">
    <w:abstractNumId w:val="18"/>
  </w:num>
  <w:num w:numId="48">
    <w:abstractNumId w:val="29"/>
  </w:num>
  <w:num w:numId="49">
    <w:abstractNumId w:val="20"/>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11C1B"/>
    <w:rsid w:val="000168BD"/>
    <w:rsid w:val="0004538E"/>
    <w:rsid w:val="00047D54"/>
    <w:rsid w:val="00051F67"/>
    <w:rsid w:val="00073D82"/>
    <w:rsid w:val="000751E5"/>
    <w:rsid w:val="00085CA1"/>
    <w:rsid w:val="000861A8"/>
    <w:rsid w:val="000901F5"/>
    <w:rsid w:val="00093843"/>
    <w:rsid w:val="000A41D6"/>
    <w:rsid w:val="000B39C5"/>
    <w:rsid w:val="000B77D5"/>
    <w:rsid w:val="000C2C7C"/>
    <w:rsid w:val="000D3E54"/>
    <w:rsid w:val="000D5A7F"/>
    <w:rsid w:val="000D62C1"/>
    <w:rsid w:val="000F178A"/>
    <w:rsid w:val="000F67F1"/>
    <w:rsid w:val="000F793D"/>
    <w:rsid w:val="00102EBB"/>
    <w:rsid w:val="00104BFA"/>
    <w:rsid w:val="00117BD3"/>
    <w:rsid w:val="00117DE1"/>
    <w:rsid w:val="00120000"/>
    <w:rsid w:val="0012029A"/>
    <w:rsid w:val="00121F7E"/>
    <w:rsid w:val="00122A62"/>
    <w:rsid w:val="00123185"/>
    <w:rsid w:val="00147064"/>
    <w:rsid w:val="001625FE"/>
    <w:rsid w:val="001C03EA"/>
    <w:rsid w:val="001C4B7C"/>
    <w:rsid w:val="001C575C"/>
    <w:rsid w:val="001D048B"/>
    <w:rsid w:val="001E2D63"/>
    <w:rsid w:val="001F439C"/>
    <w:rsid w:val="0020139E"/>
    <w:rsid w:val="0020582B"/>
    <w:rsid w:val="002131D6"/>
    <w:rsid w:val="00245962"/>
    <w:rsid w:val="00252AF2"/>
    <w:rsid w:val="00272F40"/>
    <w:rsid w:val="00277552"/>
    <w:rsid w:val="002808E6"/>
    <w:rsid w:val="002854CB"/>
    <w:rsid w:val="00293013"/>
    <w:rsid w:val="002D4E16"/>
    <w:rsid w:val="003001F4"/>
    <w:rsid w:val="0030045D"/>
    <w:rsid w:val="00313223"/>
    <w:rsid w:val="0031438D"/>
    <w:rsid w:val="0031551A"/>
    <w:rsid w:val="00320912"/>
    <w:rsid w:val="00326825"/>
    <w:rsid w:val="0033641D"/>
    <w:rsid w:val="003368B3"/>
    <w:rsid w:val="0034071C"/>
    <w:rsid w:val="003457E0"/>
    <w:rsid w:val="003465F7"/>
    <w:rsid w:val="00361242"/>
    <w:rsid w:val="00362523"/>
    <w:rsid w:val="003649EA"/>
    <w:rsid w:val="00382A21"/>
    <w:rsid w:val="00385A7F"/>
    <w:rsid w:val="0039011C"/>
    <w:rsid w:val="00391D67"/>
    <w:rsid w:val="003A21FF"/>
    <w:rsid w:val="003B0418"/>
    <w:rsid w:val="003B1F33"/>
    <w:rsid w:val="003B1F48"/>
    <w:rsid w:val="003B2034"/>
    <w:rsid w:val="003B464A"/>
    <w:rsid w:val="003C22ED"/>
    <w:rsid w:val="003D1B1F"/>
    <w:rsid w:val="003D7B1E"/>
    <w:rsid w:val="003F733B"/>
    <w:rsid w:val="00427CEB"/>
    <w:rsid w:val="00461AE3"/>
    <w:rsid w:val="00463A83"/>
    <w:rsid w:val="004665A9"/>
    <w:rsid w:val="004675C6"/>
    <w:rsid w:val="00472E90"/>
    <w:rsid w:val="004746ED"/>
    <w:rsid w:val="00497BB3"/>
    <w:rsid w:val="004A4853"/>
    <w:rsid w:val="004A7329"/>
    <w:rsid w:val="004B036B"/>
    <w:rsid w:val="004B1722"/>
    <w:rsid w:val="004B28E6"/>
    <w:rsid w:val="004B2DDC"/>
    <w:rsid w:val="004C78F7"/>
    <w:rsid w:val="004D17BA"/>
    <w:rsid w:val="004D432A"/>
    <w:rsid w:val="004E0F0C"/>
    <w:rsid w:val="004E1DD8"/>
    <w:rsid w:val="004E2FCA"/>
    <w:rsid w:val="004F316E"/>
    <w:rsid w:val="004F69CF"/>
    <w:rsid w:val="00502572"/>
    <w:rsid w:val="0050714C"/>
    <w:rsid w:val="00514E5B"/>
    <w:rsid w:val="0052324D"/>
    <w:rsid w:val="00525B65"/>
    <w:rsid w:val="00536944"/>
    <w:rsid w:val="005526E6"/>
    <w:rsid w:val="00555454"/>
    <w:rsid w:val="00557D20"/>
    <w:rsid w:val="005853CD"/>
    <w:rsid w:val="00590679"/>
    <w:rsid w:val="00590CA1"/>
    <w:rsid w:val="005A1CF7"/>
    <w:rsid w:val="005C1430"/>
    <w:rsid w:val="005D1643"/>
    <w:rsid w:val="005D38EB"/>
    <w:rsid w:val="005F2ECB"/>
    <w:rsid w:val="005F73CD"/>
    <w:rsid w:val="006128D2"/>
    <w:rsid w:val="00612ECF"/>
    <w:rsid w:val="0061402D"/>
    <w:rsid w:val="006207C4"/>
    <w:rsid w:val="006220B1"/>
    <w:rsid w:val="00625EFD"/>
    <w:rsid w:val="00634E1D"/>
    <w:rsid w:val="00635A03"/>
    <w:rsid w:val="006478BD"/>
    <w:rsid w:val="0065229B"/>
    <w:rsid w:val="00653559"/>
    <w:rsid w:val="006551DF"/>
    <w:rsid w:val="00655617"/>
    <w:rsid w:val="006706E2"/>
    <w:rsid w:val="0068338C"/>
    <w:rsid w:val="00683DD6"/>
    <w:rsid w:val="00692B0E"/>
    <w:rsid w:val="00695D96"/>
    <w:rsid w:val="006A1A90"/>
    <w:rsid w:val="006A4211"/>
    <w:rsid w:val="006B3F59"/>
    <w:rsid w:val="006E1A02"/>
    <w:rsid w:val="007053B5"/>
    <w:rsid w:val="00705939"/>
    <w:rsid w:val="00710828"/>
    <w:rsid w:val="00725240"/>
    <w:rsid w:val="00732CDF"/>
    <w:rsid w:val="0074772F"/>
    <w:rsid w:val="007515D1"/>
    <w:rsid w:val="00752B22"/>
    <w:rsid w:val="0076175E"/>
    <w:rsid w:val="00776AFD"/>
    <w:rsid w:val="007771B3"/>
    <w:rsid w:val="007956A4"/>
    <w:rsid w:val="00797C3F"/>
    <w:rsid w:val="007D1796"/>
    <w:rsid w:val="007D6211"/>
    <w:rsid w:val="007E18B5"/>
    <w:rsid w:val="007E64D5"/>
    <w:rsid w:val="007F0796"/>
    <w:rsid w:val="007F6ED9"/>
    <w:rsid w:val="008022DB"/>
    <w:rsid w:val="00814825"/>
    <w:rsid w:val="00823D26"/>
    <w:rsid w:val="00824741"/>
    <w:rsid w:val="008335F0"/>
    <w:rsid w:val="00833713"/>
    <w:rsid w:val="0083471F"/>
    <w:rsid w:val="00834F24"/>
    <w:rsid w:val="008515E9"/>
    <w:rsid w:val="008533F3"/>
    <w:rsid w:val="0085440D"/>
    <w:rsid w:val="00861333"/>
    <w:rsid w:val="00861E3F"/>
    <w:rsid w:val="00875D9A"/>
    <w:rsid w:val="008911B3"/>
    <w:rsid w:val="008A3F3B"/>
    <w:rsid w:val="008A7D43"/>
    <w:rsid w:val="008C3941"/>
    <w:rsid w:val="008D3A85"/>
    <w:rsid w:val="008E4DFB"/>
    <w:rsid w:val="008F42CF"/>
    <w:rsid w:val="008F4928"/>
    <w:rsid w:val="00905205"/>
    <w:rsid w:val="00914A88"/>
    <w:rsid w:val="00916451"/>
    <w:rsid w:val="009244B2"/>
    <w:rsid w:val="00931B86"/>
    <w:rsid w:val="00946BBB"/>
    <w:rsid w:val="0095134E"/>
    <w:rsid w:val="00954E6A"/>
    <w:rsid w:val="00965FD4"/>
    <w:rsid w:val="00973586"/>
    <w:rsid w:val="0097449A"/>
    <w:rsid w:val="009767D5"/>
    <w:rsid w:val="00976D4B"/>
    <w:rsid w:val="00980D12"/>
    <w:rsid w:val="0098381C"/>
    <w:rsid w:val="009842D4"/>
    <w:rsid w:val="0099690C"/>
    <w:rsid w:val="009B1158"/>
    <w:rsid w:val="009B19F4"/>
    <w:rsid w:val="009C3082"/>
    <w:rsid w:val="009C785A"/>
    <w:rsid w:val="009D2616"/>
    <w:rsid w:val="009D5E54"/>
    <w:rsid w:val="009E1F26"/>
    <w:rsid w:val="009E5041"/>
    <w:rsid w:val="009E6659"/>
    <w:rsid w:val="009F221E"/>
    <w:rsid w:val="009F4448"/>
    <w:rsid w:val="00A21BE2"/>
    <w:rsid w:val="00A23EDD"/>
    <w:rsid w:val="00A24F1A"/>
    <w:rsid w:val="00A327BA"/>
    <w:rsid w:val="00A3373C"/>
    <w:rsid w:val="00A33EF8"/>
    <w:rsid w:val="00A3685E"/>
    <w:rsid w:val="00A56E29"/>
    <w:rsid w:val="00A71DF8"/>
    <w:rsid w:val="00A73A10"/>
    <w:rsid w:val="00A949ED"/>
    <w:rsid w:val="00A9705F"/>
    <w:rsid w:val="00AA22E1"/>
    <w:rsid w:val="00AA7ADE"/>
    <w:rsid w:val="00AB431C"/>
    <w:rsid w:val="00AB6F11"/>
    <w:rsid w:val="00AC5BA4"/>
    <w:rsid w:val="00AD1B9A"/>
    <w:rsid w:val="00B062B6"/>
    <w:rsid w:val="00B12D02"/>
    <w:rsid w:val="00B1417B"/>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6E18"/>
    <w:rsid w:val="00BA623E"/>
    <w:rsid w:val="00BA7C50"/>
    <w:rsid w:val="00BB0AA6"/>
    <w:rsid w:val="00BB70EB"/>
    <w:rsid w:val="00BD1919"/>
    <w:rsid w:val="00BD39FC"/>
    <w:rsid w:val="00BD3BFF"/>
    <w:rsid w:val="00BE4453"/>
    <w:rsid w:val="00BE5082"/>
    <w:rsid w:val="00BF2626"/>
    <w:rsid w:val="00C176EC"/>
    <w:rsid w:val="00C20B4F"/>
    <w:rsid w:val="00C224EC"/>
    <w:rsid w:val="00C62161"/>
    <w:rsid w:val="00C76573"/>
    <w:rsid w:val="00C86202"/>
    <w:rsid w:val="00C94018"/>
    <w:rsid w:val="00C95C48"/>
    <w:rsid w:val="00CC183B"/>
    <w:rsid w:val="00CD2430"/>
    <w:rsid w:val="00CE568D"/>
    <w:rsid w:val="00D0147E"/>
    <w:rsid w:val="00D01AD2"/>
    <w:rsid w:val="00D01C3E"/>
    <w:rsid w:val="00D038E7"/>
    <w:rsid w:val="00D1304D"/>
    <w:rsid w:val="00D201BD"/>
    <w:rsid w:val="00D217AC"/>
    <w:rsid w:val="00D24738"/>
    <w:rsid w:val="00D3253E"/>
    <w:rsid w:val="00D3529E"/>
    <w:rsid w:val="00D35E31"/>
    <w:rsid w:val="00D364C3"/>
    <w:rsid w:val="00D457BF"/>
    <w:rsid w:val="00D601F3"/>
    <w:rsid w:val="00D62554"/>
    <w:rsid w:val="00D800CD"/>
    <w:rsid w:val="00D93D80"/>
    <w:rsid w:val="00D95AC6"/>
    <w:rsid w:val="00DB7220"/>
    <w:rsid w:val="00DC4E35"/>
    <w:rsid w:val="00DC5617"/>
    <w:rsid w:val="00DD1B42"/>
    <w:rsid w:val="00DE535B"/>
    <w:rsid w:val="00E01FFA"/>
    <w:rsid w:val="00E0358F"/>
    <w:rsid w:val="00E17AC2"/>
    <w:rsid w:val="00E24A97"/>
    <w:rsid w:val="00E3084E"/>
    <w:rsid w:val="00E34EE3"/>
    <w:rsid w:val="00E35BFD"/>
    <w:rsid w:val="00E37AF8"/>
    <w:rsid w:val="00E42C42"/>
    <w:rsid w:val="00E44F4C"/>
    <w:rsid w:val="00E455C9"/>
    <w:rsid w:val="00E50C95"/>
    <w:rsid w:val="00E561A2"/>
    <w:rsid w:val="00E73F50"/>
    <w:rsid w:val="00E863A0"/>
    <w:rsid w:val="00E926D8"/>
    <w:rsid w:val="00EA6742"/>
    <w:rsid w:val="00ED2646"/>
    <w:rsid w:val="00EE6B81"/>
    <w:rsid w:val="00EF7EAE"/>
    <w:rsid w:val="00F023D8"/>
    <w:rsid w:val="00F025E8"/>
    <w:rsid w:val="00F06EBE"/>
    <w:rsid w:val="00F12FAB"/>
    <w:rsid w:val="00F265D9"/>
    <w:rsid w:val="00F32EF1"/>
    <w:rsid w:val="00F3321A"/>
    <w:rsid w:val="00F41208"/>
    <w:rsid w:val="00F4257E"/>
    <w:rsid w:val="00F60FF2"/>
    <w:rsid w:val="00F6458C"/>
    <w:rsid w:val="00F71823"/>
    <w:rsid w:val="00F771FB"/>
    <w:rsid w:val="00F9653B"/>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uiPriority w:val="99"/>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 w:type="paragraph" w:styleId="Sansinterligne">
    <w:name w:val="No Spacing"/>
    <w:link w:val="SansinterligneCar"/>
    <w:uiPriority w:val="1"/>
    <w:qFormat/>
    <w:rsid w:val="00117BD3"/>
    <w:rPr>
      <w:rFonts w:ascii="Calibri" w:eastAsia="Calibri" w:hAnsi="Calibri"/>
      <w:sz w:val="22"/>
      <w:szCs w:val="22"/>
      <w:lang w:eastAsia="en-US"/>
    </w:rPr>
  </w:style>
  <w:style w:type="character" w:customStyle="1" w:styleId="SansinterligneCar">
    <w:name w:val="Sans interligne Car"/>
    <w:link w:val="Sansinterligne"/>
    <w:uiPriority w:val="1"/>
    <w:rsid w:val="00117BD3"/>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1141</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11</cp:revision>
  <cp:lastPrinted>2016-04-12T06:45:00Z</cp:lastPrinted>
  <dcterms:created xsi:type="dcterms:W3CDTF">2016-04-12T06:47:00Z</dcterms:created>
  <dcterms:modified xsi:type="dcterms:W3CDTF">2016-05-23T12:44:00Z</dcterms:modified>
</cp:coreProperties>
</file>