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0E4B83"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AC7DE5">
        <w:rPr>
          <w:rFonts w:ascii="Arial" w:hAnsi="Arial"/>
        </w:rPr>
        <w:t>4 juin</w:t>
      </w:r>
      <w:r w:rsidR="00A1134F">
        <w:rPr>
          <w:rFonts w:ascii="Arial" w:hAnsi="Arial"/>
        </w:rPr>
        <w:t xml:space="preserve"> 2015</w:t>
      </w:r>
      <w:r w:rsidR="003C2C85">
        <w:rPr>
          <w:rFonts w:ascii="Arial" w:hAnsi="Arial"/>
        </w:rPr>
        <w:tab/>
      </w:r>
      <w:r w:rsidR="00A738B5">
        <w:rPr>
          <w:rFonts w:ascii="Arial" w:hAnsi="Arial"/>
        </w:rPr>
        <w:t>2.3</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AC7DE5" w:rsidRDefault="00AC7DE5" w:rsidP="00AC7DE5">
      <w:pPr>
        <w:pStyle w:val="Retraitcorpsdetexte3"/>
        <w:jc w:val="right"/>
        <w:rPr>
          <w:rFonts w:ascii="Arial" w:hAnsi="Arial"/>
        </w:rPr>
      </w:pPr>
    </w:p>
    <w:p w:rsidR="00AC7DE5" w:rsidRDefault="00AC7DE5" w:rsidP="00AC7DE5">
      <w:pPr>
        <w:pStyle w:val="Retraitcorpsdetexte3"/>
        <w:jc w:val="right"/>
        <w:rPr>
          <w:rFonts w:ascii="Arial" w:hAnsi="Arial"/>
        </w:rPr>
      </w:pPr>
      <w:r>
        <w:rPr>
          <w:rFonts w:ascii="Arial" w:hAnsi="Arial"/>
        </w:rPr>
        <w:t>GESTION BUDGETAIRE DE 2014</w:t>
      </w:r>
    </w:p>
    <w:p w:rsidR="00AC7DE5" w:rsidRDefault="00AC7DE5" w:rsidP="00AC7DE5">
      <w:pPr>
        <w:pStyle w:val="Retraitcorpsdetexte3"/>
        <w:jc w:val="right"/>
        <w:rPr>
          <w:rFonts w:ascii="Arial" w:hAnsi="Arial"/>
        </w:rPr>
      </w:pPr>
      <w:r>
        <w:rPr>
          <w:rFonts w:ascii="Arial" w:hAnsi="Arial"/>
        </w:rPr>
        <w:t>COMPTE ADMINISTRATIF GENERAL DE LA COMMUNE</w:t>
      </w:r>
    </w:p>
    <w:p w:rsidR="00AC7DE5" w:rsidRDefault="00AC7DE5" w:rsidP="00AC7DE5">
      <w:pPr>
        <w:pStyle w:val="Retraitcorpsdetexte3"/>
        <w:jc w:val="right"/>
        <w:rPr>
          <w:rFonts w:ascii="Arial" w:hAnsi="Arial"/>
        </w:rPr>
      </w:pPr>
      <w:r>
        <w:rPr>
          <w:rFonts w:ascii="Arial" w:hAnsi="Arial"/>
        </w:rPr>
        <w:t>AFFECTATION DU RESULTAT D'EXPLOITATION DE L'EXERCICE</w:t>
      </w:r>
    </w:p>
    <w:p w:rsidR="00AC7DE5" w:rsidRDefault="00AC7DE5" w:rsidP="00AC7DE5">
      <w:pPr>
        <w:ind w:left="1418"/>
        <w:rPr>
          <w:rFonts w:ascii="Arial" w:hAnsi="Arial"/>
          <w:sz w:val="22"/>
        </w:rPr>
      </w:pPr>
    </w:p>
    <w:p w:rsidR="00AC7DE5" w:rsidRDefault="00AC7DE5" w:rsidP="00AC7DE5">
      <w:pPr>
        <w:ind w:left="1418"/>
        <w:rPr>
          <w:rFonts w:ascii="Arial" w:hAnsi="Arial"/>
          <w:sz w:val="22"/>
        </w:rPr>
      </w:pPr>
    </w:p>
    <w:p w:rsidR="00AC7DE5" w:rsidRDefault="00AC7DE5" w:rsidP="00AC7DE5">
      <w:pPr>
        <w:ind w:left="1418"/>
        <w:rPr>
          <w:rFonts w:ascii="Arial" w:hAnsi="Arial"/>
          <w:sz w:val="22"/>
        </w:rPr>
      </w:pPr>
    </w:p>
    <w:p w:rsidR="000E4B83" w:rsidRDefault="000E4B83"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AC7DE5" w:rsidRDefault="00AC7DE5" w:rsidP="00AC7DE5">
      <w:pPr>
        <w:ind w:left="1418"/>
        <w:rPr>
          <w:rFonts w:ascii="Arial" w:hAnsi="Arial"/>
          <w:sz w:val="22"/>
        </w:rPr>
      </w:pPr>
    </w:p>
    <w:p w:rsidR="00AC7DE5" w:rsidRPr="000E4B83" w:rsidRDefault="000E4B83" w:rsidP="00AC7DE5">
      <w:pPr>
        <w:ind w:left="1418" w:hanging="1"/>
        <w:jc w:val="both"/>
        <w:rPr>
          <w:rFonts w:ascii="Arial" w:hAnsi="Arial"/>
          <w:b/>
          <w:bCs/>
          <w:sz w:val="22"/>
        </w:rPr>
      </w:pPr>
      <w:r>
        <w:rPr>
          <w:rFonts w:ascii="Arial" w:hAnsi="Arial"/>
          <w:b/>
          <w:sz w:val="22"/>
        </w:rPr>
        <w:t>"</w:t>
      </w:r>
      <w:r w:rsidR="00AC7DE5">
        <w:rPr>
          <w:rFonts w:ascii="Arial" w:hAnsi="Arial"/>
          <w:sz w:val="22"/>
        </w:rPr>
        <w:t>Selon l'article L 1612-12 du code général des collectivités territoriales, l'arrêté des comptes communaux est constitué par le vote de l'organe délibérant sur le compte administratif présenté par le maire. La comptabilité M14 prévoit l'affectation du résultat par le conseil municipal. Celle-ci porte sur le seul résultat de la section de Fonctionnement. Le solde d'exécution de la section d'Investissement, qu'il soit positif ou négatif, fait l'objet d'un report pur et simple. L'affectation de l'excédent de fonctionnement concerne l'excédent de l'exercice complété des excédents reportés ou diminué des déficits antérieurs. C'est donc l'excédent net cumulé de la section de Fonctionnement qui donne lieu à affectation.</w:t>
      </w:r>
      <w:r>
        <w:rPr>
          <w:rFonts w:ascii="Arial" w:hAnsi="Arial"/>
          <w:b/>
          <w:sz w:val="22"/>
        </w:rPr>
        <w:t>"</w:t>
      </w:r>
    </w:p>
    <w:p w:rsidR="00AC7DE5" w:rsidRDefault="00AC7DE5" w:rsidP="00AC7DE5">
      <w:pPr>
        <w:ind w:left="1418" w:hanging="1"/>
        <w:jc w:val="both"/>
        <w:rPr>
          <w:rFonts w:ascii="Arial" w:hAnsi="Arial"/>
          <w:sz w:val="22"/>
        </w:rPr>
      </w:pPr>
    </w:p>
    <w:p w:rsidR="000E4B83" w:rsidRDefault="000E4B83" w:rsidP="0015752D">
      <w:pPr>
        <w:ind w:left="1418"/>
        <w:jc w:val="both"/>
        <w:rPr>
          <w:rFonts w:ascii="Arial" w:hAnsi="Arial"/>
          <w:sz w:val="22"/>
          <w:szCs w:val="22"/>
        </w:rPr>
      </w:pPr>
      <w:r>
        <w:rPr>
          <w:rFonts w:ascii="Arial" w:hAnsi="Arial"/>
          <w:sz w:val="22"/>
          <w:szCs w:val="22"/>
        </w:rPr>
        <w:t>Vu le Code général des collectivités territoriales ;</w:t>
      </w:r>
    </w:p>
    <w:p w:rsidR="000E4B83" w:rsidRPr="00421142" w:rsidRDefault="000E4B83" w:rsidP="0015752D">
      <w:pPr>
        <w:ind w:left="1418"/>
        <w:jc w:val="both"/>
        <w:rPr>
          <w:rFonts w:ascii="Arial" w:hAnsi="Arial"/>
          <w:sz w:val="12"/>
          <w:szCs w:val="12"/>
        </w:rPr>
      </w:pPr>
    </w:p>
    <w:p w:rsidR="000E4B83" w:rsidRDefault="000E4B83" w:rsidP="0015752D">
      <w:pPr>
        <w:ind w:left="1418"/>
        <w:jc w:val="both"/>
        <w:rPr>
          <w:rFonts w:ascii="Arial" w:hAnsi="Arial"/>
          <w:sz w:val="22"/>
          <w:szCs w:val="22"/>
        </w:rPr>
      </w:pPr>
      <w:r>
        <w:rPr>
          <w:rFonts w:ascii="Arial" w:hAnsi="Arial"/>
          <w:sz w:val="22"/>
          <w:szCs w:val="22"/>
        </w:rPr>
        <w:t>Après en avoir délibéré, le conseil municipal, à l'unanimité :</w:t>
      </w:r>
    </w:p>
    <w:p w:rsidR="00AC7DE5" w:rsidRDefault="00AC7DE5" w:rsidP="000E4B83">
      <w:pPr>
        <w:numPr>
          <w:ilvl w:val="0"/>
          <w:numId w:val="1"/>
        </w:numPr>
        <w:spacing w:before="80"/>
        <w:ind w:left="1418" w:firstLine="0"/>
        <w:jc w:val="both"/>
        <w:rPr>
          <w:rFonts w:ascii="Arial" w:hAnsi="Arial"/>
          <w:sz w:val="22"/>
        </w:rPr>
      </w:pPr>
      <w:r>
        <w:rPr>
          <w:rFonts w:ascii="Arial" w:hAnsi="Arial"/>
          <w:sz w:val="22"/>
        </w:rPr>
        <w:t>après avoir pris connaissance du compte administratif de l'exercice 2014 ;</w:t>
      </w:r>
    </w:p>
    <w:p w:rsidR="00AC7DE5" w:rsidRDefault="00AC7DE5" w:rsidP="000E4B83">
      <w:pPr>
        <w:numPr>
          <w:ilvl w:val="0"/>
          <w:numId w:val="1"/>
        </w:numPr>
        <w:spacing w:before="80"/>
        <w:ind w:left="1418" w:firstLine="0"/>
        <w:jc w:val="both"/>
        <w:rPr>
          <w:rFonts w:ascii="Arial" w:hAnsi="Arial"/>
          <w:sz w:val="22"/>
        </w:rPr>
      </w:pPr>
      <w:r>
        <w:rPr>
          <w:rFonts w:ascii="Arial" w:hAnsi="Arial"/>
          <w:sz w:val="22"/>
        </w:rPr>
        <w:t xml:space="preserve">statuant sur l'affectation du résultat de fonctionnement de cet exercice ; </w:t>
      </w:r>
    </w:p>
    <w:p w:rsidR="00AC7DE5" w:rsidRDefault="00AC7DE5" w:rsidP="000E4B83">
      <w:pPr>
        <w:numPr>
          <w:ilvl w:val="0"/>
          <w:numId w:val="1"/>
        </w:numPr>
        <w:spacing w:before="80"/>
        <w:ind w:left="1418" w:hanging="1"/>
        <w:jc w:val="both"/>
        <w:rPr>
          <w:rFonts w:ascii="Arial" w:hAnsi="Arial"/>
          <w:sz w:val="22"/>
        </w:rPr>
      </w:pPr>
      <w:r>
        <w:rPr>
          <w:rFonts w:ascii="Arial" w:hAnsi="Arial"/>
          <w:sz w:val="22"/>
        </w:rPr>
        <w:t>constatant que le compte administratif présente :</w:t>
      </w:r>
    </w:p>
    <w:p w:rsidR="00AC7DE5" w:rsidRDefault="00AC7DE5" w:rsidP="000E4B83">
      <w:pPr>
        <w:numPr>
          <w:ilvl w:val="12"/>
          <w:numId w:val="0"/>
        </w:numPr>
        <w:spacing w:before="80"/>
        <w:ind w:left="1701" w:hanging="1"/>
        <w:jc w:val="both"/>
        <w:rPr>
          <w:rFonts w:ascii="Arial" w:hAnsi="Arial"/>
          <w:sz w:val="22"/>
        </w:rPr>
      </w:pPr>
      <w:r>
        <w:rPr>
          <w:rFonts w:ascii="Arial" w:hAnsi="Arial"/>
          <w:sz w:val="22"/>
        </w:rPr>
        <w:t xml:space="preserve">- un excédent de fonctionnement de </w:t>
      </w:r>
      <w:r>
        <w:rPr>
          <w:rFonts w:ascii="Arial" w:hAnsi="Arial"/>
          <w:b/>
          <w:sz w:val="22"/>
        </w:rPr>
        <w:t>3 218 986,66 €.</w:t>
      </w:r>
    </w:p>
    <w:p w:rsidR="00AC7DE5" w:rsidRDefault="00AC7DE5" w:rsidP="00AC7DE5">
      <w:pPr>
        <w:ind w:left="1418" w:hanging="1"/>
        <w:jc w:val="both"/>
        <w:rPr>
          <w:rFonts w:ascii="Arial" w:hAnsi="Arial"/>
          <w:sz w:val="22"/>
        </w:rPr>
      </w:pPr>
    </w:p>
    <w:p w:rsidR="00AC7DE5" w:rsidRDefault="000E4B83" w:rsidP="00AC7DE5">
      <w:pPr>
        <w:ind w:left="1418" w:hanging="1"/>
        <w:jc w:val="both"/>
        <w:rPr>
          <w:rFonts w:ascii="Arial" w:hAnsi="Arial"/>
          <w:sz w:val="22"/>
        </w:rPr>
      </w:pPr>
      <w:proofErr w:type="gramStart"/>
      <w:r>
        <w:rPr>
          <w:rFonts w:ascii="Arial" w:hAnsi="Arial"/>
          <w:sz w:val="22"/>
        </w:rPr>
        <w:t>décide</w:t>
      </w:r>
      <w:proofErr w:type="gramEnd"/>
      <w:r w:rsidR="00AC7DE5">
        <w:rPr>
          <w:rFonts w:ascii="Arial" w:hAnsi="Arial"/>
          <w:sz w:val="22"/>
        </w:rPr>
        <w:t xml:space="preserve"> d'affecter le résultat comme suit :</w:t>
      </w:r>
    </w:p>
    <w:p w:rsidR="00AC7DE5" w:rsidRPr="00B779AF" w:rsidRDefault="00AC7DE5" w:rsidP="00AC7DE5">
      <w:pPr>
        <w:ind w:left="1418" w:hanging="1"/>
        <w:jc w:val="both"/>
        <w:rPr>
          <w:rFonts w:ascii="Arial" w:hAnsi="Arial"/>
          <w:sz w:val="16"/>
          <w:szCs w:val="16"/>
        </w:rPr>
      </w:pPr>
    </w:p>
    <w:tbl>
      <w:tblPr>
        <w:tblW w:w="0" w:type="auto"/>
        <w:tblInd w:w="14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237"/>
        <w:gridCol w:w="1843"/>
      </w:tblGrid>
      <w:tr w:rsidR="00AC7DE5" w:rsidTr="00556D9F">
        <w:tc>
          <w:tcPr>
            <w:tcW w:w="6237" w:type="dxa"/>
          </w:tcPr>
          <w:p w:rsidR="00AC7DE5" w:rsidRDefault="00AC7DE5" w:rsidP="00556D9F">
            <w:pPr>
              <w:rPr>
                <w:rFonts w:ascii="Arial" w:hAnsi="Arial"/>
                <w:b/>
                <w:sz w:val="22"/>
              </w:rPr>
            </w:pPr>
            <w:r>
              <w:rPr>
                <w:rFonts w:ascii="Arial" w:hAnsi="Arial"/>
                <w:sz w:val="22"/>
              </w:rPr>
              <w:t xml:space="preserve">Excédent antérieur reporté (report à nouveau créditeur) - </w:t>
            </w:r>
            <w:r>
              <w:rPr>
                <w:rFonts w:ascii="Arial" w:hAnsi="Arial"/>
                <w:b/>
                <w:sz w:val="22"/>
              </w:rPr>
              <w:t>pour mémoire</w:t>
            </w:r>
          </w:p>
          <w:p w:rsidR="00AC7DE5" w:rsidRDefault="00AC7DE5" w:rsidP="00556D9F">
            <w:pPr>
              <w:rPr>
                <w:rFonts w:ascii="Arial" w:hAnsi="Arial"/>
                <w:b/>
                <w:sz w:val="22"/>
              </w:rPr>
            </w:pPr>
            <w:r>
              <w:rPr>
                <w:rFonts w:ascii="Arial" w:hAnsi="Arial"/>
                <w:sz w:val="22"/>
              </w:rPr>
              <w:t>Virement à la section d'investissement</w:t>
            </w:r>
            <w:r>
              <w:rPr>
                <w:rFonts w:ascii="Arial" w:hAnsi="Arial"/>
                <w:b/>
                <w:sz w:val="22"/>
              </w:rPr>
              <w:t xml:space="preserve"> - pour mémoire</w:t>
            </w:r>
          </w:p>
          <w:p w:rsidR="00AC7DE5" w:rsidRDefault="00AC7DE5" w:rsidP="00556D9F">
            <w:pPr>
              <w:rPr>
                <w:rFonts w:ascii="Arial" w:hAnsi="Arial"/>
                <w:sz w:val="22"/>
              </w:rPr>
            </w:pPr>
          </w:p>
        </w:tc>
        <w:tc>
          <w:tcPr>
            <w:tcW w:w="1843" w:type="dxa"/>
          </w:tcPr>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r>
              <w:rPr>
                <w:rFonts w:ascii="Arial" w:hAnsi="Arial"/>
                <w:sz w:val="22"/>
              </w:rPr>
              <w:t>763 126,59 €</w:t>
            </w:r>
          </w:p>
          <w:p w:rsidR="00AC7DE5" w:rsidRDefault="00AC7DE5" w:rsidP="00556D9F">
            <w:pPr>
              <w:ind w:right="140"/>
              <w:jc w:val="right"/>
              <w:rPr>
                <w:rFonts w:ascii="Arial" w:hAnsi="Arial"/>
                <w:sz w:val="22"/>
              </w:rPr>
            </w:pPr>
            <w:r>
              <w:rPr>
                <w:rFonts w:ascii="Arial" w:hAnsi="Arial"/>
                <w:sz w:val="22"/>
              </w:rPr>
              <w:t>2 878 271,59 €</w:t>
            </w:r>
          </w:p>
          <w:p w:rsidR="00AC7DE5" w:rsidRDefault="00AC7DE5" w:rsidP="00556D9F">
            <w:pPr>
              <w:ind w:right="140"/>
              <w:jc w:val="right"/>
              <w:rPr>
                <w:rFonts w:ascii="Arial" w:hAnsi="Arial"/>
                <w:sz w:val="22"/>
              </w:rPr>
            </w:pPr>
          </w:p>
        </w:tc>
      </w:tr>
      <w:tr w:rsidR="00AC7DE5" w:rsidTr="00556D9F">
        <w:tc>
          <w:tcPr>
            <w:tcW w:w="6237" w:type="dxa"/>
            <w:tcBorders>
              <w:top w:val="single" w:sz="6" w:space="0" w:color="auto"/>
              <w:bottom w:val="nil"/>
            </w:tcBorders>
          </w:tcPr>
          <w:p w:rsidR="00AC7DE5" w:rsidRDefault="00AC7DE5" w:rsidP="00556D9F">
            <w:pPr>
              <w:rPr>
                <w:rFonts w:ascii="Arial" w:hAnsi="Arial"/>
                <w:sz w:val="22"/>
              </w:rPr>
            </w:pPr>
            <w:r>
              <w:rPr>
                <w:rFonts w:ascii="Arial" w:hAnsi="Arial"/>
                <w:sz w:val="22"/>
              </w:rPr>
              <w:t>EXCEDENT AU 31/12/201</w:t>
            </w:r>
            <w:r w:rsidR="00D65494">
              <w:rPr>
                <w:rFonts w:ascii="Arial" w:hAnsi="Arial"/>
                <w:sz w:val="22"/>
              </w:rPr>
              <w:t>4</w:t>
            </w:r>
          </w:p>
          <w:p w:rsidR="00AC7DE5" w:rsidRDefault="00AC7DE5" w:rsidP="00556D9F">
            <w:pPr>
              <w:rPr>
                <w:rFonts w:ascii="Arial" w:hAnsi="Arial"/>
                <w:sz w:val="22"/>
              </w:rPr>
            </w:pPr>
          </w:p>
        </w:tc>
        <w:tc>
          <w:tcPr>
            <w:tcW w:w="1843" w:type="dxa"/>
            <w:tcBorders>
              <w:top w:val="single" w:sz="6" w:space="0" w:color="auto"/>
              <w:bottom w:val="nil"/>
            </w:tcBorders>
          </w:tcPr>
          <w:p w:rsidR="00AC7DE5" w:rsidRDefault="00AC7DE5" w:rsidP="00556D9F">
            <w:pPr>
              <w:ind w:right="140"/>
              <w:jc w:val="right"/>
              <w:rPr>
                <w:rFonts w:ascii="Arial" w:hAnsi="Arial"/>
                <w:sz w:val="22"/>
              </w:rPr>
            </w:pPr>
            <w:r>
              <w:rPr>
                <w:rFonts w:ascii="Arial" w:hAnsi="Arial"/>
                <w:sz w:val="22"/>
              </w:rPr>
              <w:t>3 218 986,66 €</w:t>
            </w:r>
          </w:p>
          <w:p w:rsidR="00AC7DE5" w:rsidRDefault="00AC7DE5" w:rsidP="00556D9F">
            <w:pPr>
              <w:ind w:right="140"/>
              <w:jc w:val="right"/>
              <w:rPr>
                <w:rFonts w:ascii="Arial" w:hAnsi="Arial"/>
                <w:sz w:val="22"/>
              </w:rPr>
            </w:pPr>
          </w:p>
        </w:tc>
      </w:tr>
      <w:tr w:rsidR="00AC7DE5" w:rsidTr="00556D9F">
        <w:tc>
          <w:tcPr>
            <w:tcW w:w="6237" w:type="dxa"/>
            <w:tcBorders>
              <w:top w:val="nil"/>
              <w:bottom w:val="nil"/>
            </w:tcBorders>
          </w:tcPr>
          <w:p w:rsidR="00AC7DE5" w:rsidRDefault="00AC7DE5" w:rsidP="00556D9F">
            <w:pPr>
              <w:rPr>
                <w:rFonts w:ascii="Arial" w:hAnsi="Arial"/>
                <w:sz w:val="22"/>
              </w:rPr>
            </w:pPr>
            <w:r>
              <w:rPr>
                <w:rFonts w:ascii="Arial" w:hAnsi="Arial"/>
                <w:b/>
                <w:sz w:val="22"/>
              </w:rPr>
              <w:t>Affectation obligatoire :</w:t>
            </w:r>
          </w:p>
          <w:p w:rsidR="00AC7DE5" w:rsidRDefault="00AC7DE5" w:rsidP="00556D9F">
            <w:pPr>
              <w:rPr>
                <w:rFonts w:ascii="Arial" w:hAnsi="Arial"/>
                <w:sz w:val="22"/>
              </w:rPr>
            </w:pPr>
            <w:r>
              <w:rPr>
                <w:rFonts w:ascii="Arial" w:hAnsi="Arial"/>
                <w:sz w:val="22"/>
              </w:rPr>
              <w:t>* à la couverture du besoin de financement dégagé par la section d'investissement</w:t>
            </w:r>
          </w:p>
        </w:tc>
        <w:tc>
          <w:tcPr>
            <w:tcW w:w="1843" w:type="dxa"/>
            <w:tcBorders>
              <w:top w:val="nil"/>
              <w:bottom w:val="nil"/>
            </w:tcBorders>
          </w:tcPr>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r>
              <w:rPr>
                <w:rFonts w:ascii="Arial" w:hAnsi="Arial"/>
                <w:sz w:val="22"/>
              </w:rPr>
              <w:t>2 228 508,87 €</w:t>
            </w:r>
          </w:p>
          <w:p w:rsidR="00AC7DE5" w:rsidRDefault="00AC7DE5" w:rsidP="00556D9F">
            <w:pPr>
              <w:ind w:right="140"/>
              <w:jc w:val="right"/>
              <w:rPr>
                <w:rFonts w:ascii="Arial" w:hAnsi="Arial"/>
                <w:sz w:val="22"/>
              </w:rPr>
            </w:pPr>
          </w:p>
        </w:tc>
      </w:tr>
      <w:tr w:rsidR="00AC7DE5" w:rsidTr="00556D9F">
        <w:tc>
          <w:tcPr>
            <w:tcW w:w="6237" w:type="dxa"/>
            <w:tcBorders>
              <w:top w:val="nil"/>
            </w:tcBorders>
          </w:tcPr>
          <w:p w:rsidR="00AC7DE5" w:rsidRDefault="00AC7DE5" w:rsidP="00556D9F">
            <w:pPr>
              <w:rPr>
                <w:rFonts w:ascii="Arial" w:hAnsi="Arial"/>
                <w:sz w:val="22"/>
              </w:rPr>
            </w:pPr>
            <w:r>
              <w:rPr>
                <w:rFonts w:ascii="Arial" w:hAnsi="Arial"/>
                <w:b/>
                <w:sz w:val="22"/>
              </w:rPr>
              <w:t>Solde disponible</w:t>
            </w:r>
          </w:p>
          <w:p w:rsidR="00AC7DE5" w:rsidRDefault="00AC7DE5" w:rsidP="00556D9F">
            <w:pPr>
              <w:rPr>
                <w:rFonts w:ascii="Arial" w:hAnsi="Arial"/>
                <w:sz w:val="22"/>
              </w:rPr>
            </w:pPr>
            <w:r>
              <w:rPr>
                <w:rFonts w:ascii="Arial" w:hAnsi="Arial"/>
                <w:sz w:val="22"/>
              </w:rPr>
              <w:t>affecté comme suit :</w:t>
            </w:r>
          </w:p>
          <w:p w:rsidR="00AC7DE5" w:rsidRDefault="00AC7DE5" w:rsidP="00556D9F">
            <w:pPr>
              <w:rPr>
                <w:rFonts w:ascii="Arial" w:hAnsi="Arial"/>
                <w:sz w:val="22"/>
              </w:rPr>
            </w:pPr>
            <w:r>
              <w:rPr>
                <w:rFonts w:ascii="Arial" w:hAnsi="Arial"/>
                <w:sz w:val="22"/>
              </w:rPr>
              <w:t>* affectation complémentaire en réserves (compte 1068)</w:t>
            </w:r>
          </w:p>
          <w:p w:rsidR="00AC7DE5" w:rsidRDefault="00AC7DE5" w:rsidP="00556D9F">
            <w:pPr>
              <w:rPr>
                <w:rFonts w:ascii="Arial" w:hAnsi="Arial"/>
                <w:b/>
                <w:sz w:val="22"/>
              </w:rPr>
            </w:pPr>
            <w:r>
              <w:rPr>
                <w:rFonts w:ascii="Arial" w:hAnsi="Arial"/>
                <w:sz w:val="22"/>
              </w:rPr>
              <w:t>* affectation à l'excédent reporté (report à nouveau créditeur) (ligne 002)</w:t>
            </w:r>
          </w:p>
        </w:tc>
        <w:tc>
          <w:tcPr>
            <w:tcW w:w="1843" w:type="dxa"/>
            <w:tcBorders>
              <w:top w:val="nil"/>
            </w:tcBorders>
          </w:tcPr>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Pr="000E4B83" w:rsidRDefault="00AC7DE5" w:rsidP="00556D9F">
            <w:pPr>
              <w:ind w:right="72"/>
              <w:jc w:val="right"/>
              <w:rPr>
                <w:rFonts w:ascii="Arial" w:hAnsi="Arial"/>
                <w:b/>
                <w:sz w:val="22"/>
              </w:rPr>
            </w:pPr>
            <w:r>
              <w:rPr>
                <w:rFonts w:ascii="Arial" w:hAnsi="Arial"/>
                <w:sz w:val="22"/>
              </w:rPr>
              <w:t>990 477,79 €</w:t>
            </w:r>
            <w:r w:rsidR="000E4B83">
              <w:rPr>
                <w:rFonts w:ascii="Arial" w:hAnsi="Arial"/>
                <w:b/>
                <w:sz w:val="22"/>
              </w:rPr>
              <w:t>"</w:t>
            </w:r>
          </w:p>
        </w:tc>
      </w:tr>
    </w:tbl>
    <w:p w:rsidR="00AC7DE5" w:rsidRDefault="00AC7DE5" w:rsidP="00AC7DE5">
      <w:pPr>
        <w:ind w:left="1418" w:hanging="1"/>
        <w:jc w:val="both"/>
        <w:rPr>
          <w:rFonts w:ascii="Arial" w:hAnsi="Arial"/>
          <w:sz w:val="22"/>
        </w:rPr>
      </w:pPr>
    </w:p>
    <w:p w:rsidR="00AC7DE5" w:rsidRDefault="00AC7DE5" w:rsidP="00AC7DE5">
      <w:pPr>
        <w:ind w:left="1418" w:hanging="1"/>
        <w:jc w:val="both"/>
        <w:rPr>
          <w:rFonts w:ascii="Arial" w:hAnsi="Arial"/>
          <w:sz w:val="22"/>
        </w:rPr>
      </w:pPr>
    </w:p>
    <w:p w:rsidR="00AC7DE5" w:rsidRDefault="00AC7DE5" w:rsidP="00AC7DE5">
      <w:pPr>
        <w:ind w:left="1418" w:hanging="1"/>
        <w:jc w:val="both"/>
        <w:rPr>
          <w:rFonts w:ascii="Arial" w:hAnsi="Arial"/>
          <w:sz w:val="22"/>
        </w:rPr>
      </w:pPr>
    </w:p>
    <w:p w:rsidR="00AC7DE5" w:rsidRDefault="00AC7DE5" w:rsidP="00AC7DE5">
      <w:pPr>
        <w:ind w:left="1418" w:hanging="1"/>
        <w:jc w:val="both"/>
        <w:rPr>
          <w:rFonts w:ascii="Arial" w:hAnsi="Arial"/>
          <w:sz w:val="22"/>
        </w:rPr>
      </w:pPr>
    </w:p>
    <w:p w:rsidR="006F770B" w:rsidRPr="006F770B" w:rsidRDefault="006F770B">
      <w:pPr>
        <w:ind w:left="1418" w:hanging="1"/>
        <w:jc w:val="both"/>
        <w:rPr>
          <w:rFonts w:ascii="Arial" w:hAnsi="Arial" w:cs="Arial"/>
          <w:sz w:val="22"/>
        </w:rPr>
      </w:pPr>
    </w:p>
    <w:sectPr w:rsidR="006F770B" w:rsidRPr="006F770B" w:rsidSect="002B149E">
      <w:headerReference w:type="even" r:id="rId7"/>
      <w:headerReference w:type="default" r:id="rId8"/>
      <w:footerReference w:type="even" r:id="rId9"/>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0E4B83"/>
    <w:rsid w:val="00190A70"/>
    <w:rsid w:val="001940FA"/>
    <w:rsid w:val="001C058E"/>
    <w:rsid w:val="002B149E"/>
    <w:rsid w:val="002E7458"/>
    <w:rsid w:val="003C2C85"/>
    <w:rsid w:val="003F45CD"/>
    <w:rsid w:val="00452AF7"/>
    <w:rsid w:val="004C09D2"/>
    <w:rsid w:val="00517B44"/>
    <w:rsid w:val="005C0662"/>
    <w:rsid w:val="005C42C7"/>
    <w:rsid w:val="005F3DAE"/>
    <w:rsid w:val="0060470E"/>
    <w:rsid w:val="006466EF"/>
    <w:rsid w:val="00670613"/>
    <w:rsid w:val="0069420C"/>
    <w:rsid w:val="006F770B"/>
    <w:rsid w:val="00712C2E"/>
    <w:rsid w:val="00712CC9"/>
    <w:rsid w:val="0074651B"/>
    <w:rsid w:val="007709D3"/>
    <w:rsid w:val="00783961"/>
    <w:rsid w:val="007A38B2"/>
    <w:rsid w:val="007B79B6"/>
    <w:rsid w:val="007C226A"/>
    <w:rsid w:val="008A6E74"/>
    <w:rsid w:val="008C0EE0"/>
    <w:rsid w:val="009216A8"/>
    <w:rsid w:val="00936176"/>
    <w:rsid w:val="00994EE0"/>
    <w:rsid w:val="00A1134F"/>
    <w:rsid w:val="00A608CD"/>
    <w:rsid w:val="00A738B5"/>
    <w:rsid w:val="00AC7DE5"/>
    <w:rsid w:val="00C068B9"/>
    <w:rsid w:val="00C100F1"/>
    <w:rsid w:val="00C90CE5"/>
    <w:rsid w:val="00C91A72"/>
    <w:rsid w:val="00CB0AAF"/>
    <w:rsid w:val="00D02A50"/>
    <w:rsid w:val="00D02FDA"/>
    <w:rsid w:val="00D65494"/>
    <w:rsid w:val="00D712ED"/>
    <w:rsid w:val="00DC3E0C"/>
    <w:rsid w:val="00DC645E"/>
    <w:rsid w:val="00E33320"/>
    <w:rsid w:val="00EA5F82"/>
    <w:rsid w:val="00EE24B4"/>
    <w:rsid w:val="00F145E0"/>
    <w:rsid w:val="00F52456"/>
    <w:rsid w:val="00FC042D"/>
    <w:rsid w:val="00FD7D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3">
    <w:name w:val="Body Text Indent 3"/>
    <w:basedOn w:val="Normal"/>
    <w:link w:val="Retraitcorpsdetexte3Car"/>
    <w:rsid w:val="00AC7DE5"/>
    <w:pPr>
      <w:tabs>
        <w:tab w:val="left" w:pos="1276"/>
        <w:tab w:val="left" w:pos="3261"/>
      </w:tabs>
      <w:ind w:left="2269"/>
      <w:jc w:val="center"/>
    </w:pPr>
    <w:rPr>
      <w:rFonts w:ascii="Univers" w:hAnsi="Univers"/>
      <w:b/>
      <w:bCs/>
      <w:sz w:val="22"/>
      <w:szCs w:val="22"/>
    </w:rPr>
  </w:style>
  <w:style w:type="character" w:customStyle="1" w:styleId="Retraitcorpsdetexte3Car">
    <w:name w:val="Retrait corps de texte 3 Car"/>
    <w:basedOn w:val="Policepardfaut"/>
    <w:link w:val="Retraitcorpsdetexte3"/>
    <w:rsid w:val="00AC7DE5"/>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7</cp:revision>
  <cp:lastPrinted>2015-05-18T11:22:00Z</cp:lastPrinted>
  <dcterms:created xsi:type="dcterms:W3CDTF">2015-05-18T09:55:00Z</dcterms:created>
  <dcterms:modified xsi:type="dcterms:W3CDTF">2015-06-08T12:30:00Z</dcterms:modified>
</cp:coreProperties>
</file>