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FF" w:rsidRPr="006700E2" w:rsidRDefault="00CB7AFF" w:rsidP="00CD3F6D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CB7AFF" w:rsidRDefault="00107673" w:rsidP="00CD3F6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CB7AFF">
        <w:rPr>
          <w:rFonts w:ascii="Arial" w:hAnsi="Arial"/>
        </w:rPr>
        <w:t xml:space="preserve">onseil municipal du </w:t>
      </w:r>
      <w:r w:rsidR="00750F02">
        <w:rPr>
          <w:rFonts w:ascii="Arial" w:hAnsi="Arial"/>
        </w:rPr>
        <w:t>13 novembre</w:t>
      </w:r>
      <w:r w:rsidR="00C97192">
        <w:rPr>
          <w:rFonts w:ascii="Arial" w:hAnsi="Arial"/>
        </w:rPr>
        <w:t xml:space="preserve"> 201</w:t>
      </w:r>
      <w:r w:rsidR="006F0E9C">
        <w:rPr>
          <w:rFonts w:ascii="Arial" w:hAnsi="Arial"/>
        </w:rPr>
        <w:t>4</w:t>
      </w:r>
      <w:r w:rsidR="00CB7AFF">
        <w:rPr>
          <w:rFonts w:ascii="Arial" w:hAnsi="Arial"/>
        </w:rPr>
        <w:tab/>
      </w:r>
      <w:r w:rsidR="00913C57">
        <w:rPr>
          <w:rFonts w:ascii="Arial" w:hAnsi="Arial"/>
        </w:rPr>
        <w:t>2.1</w:t>
      </w: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12895" w:rsidRDefault="00412895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8611F0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FINANCES</w:t>
      </w:r>
    </w:p>
    <w:p w:rsidR="00A0537E" w:rsidRDefault="00A0537E" w:rsidP="00CB7AFF">
      <w:pPr>
        <w:pStyle w:val="Retraitcorpsdetexte"/>
        <w:jc w:val="right"/>
        <w:rPr>
          <w:rFonts w:ascii="Arial" w:hAnsi="Arial"/>
        </w:rPr>
      </w:pPr>
    </w:p>
    <w:p w:rsidR="006F0E9C" w:rsidRDefault="00750F02" w:rsidP="00CB7AF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CONSTRUCTION DE 16 PAVILLONS INDIVIDUELS</w:t>
      </w:r>
    </w:p>
    <w:p w:rsidR="00750F02" w:rsidRDefault="00750F02" w:rsidP="00CB7AF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RUE DE SAINT-ALBAN A RIORGES</w:t>
      </w:r>
    </w:p>
    <w:p w:rsidR="00565293" w:rsidRDefault="0047463E" w:rsidP="000E442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EMPRUNT</w:t>
      </w:r>
      <w:r w:rsidR="00780F13">
        <w:rPr>
          <w:rFonts w:ascii="Arial" w:hAnsi="Arial"/>
        </w:rPr>
        <w:t>S</w:t>
      </w:r>
      <w:r>
        <w:rPr>
          <w:rFonts w:ascii="Arial" w:hAnsi="Arial"/>
        </w:rPr>
        <w:t xml:space="preserve"> CONTRACTE</w:t>
      </w:r>
      <w:r w:rsidR="00780F13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750F02">
        <w:rPr>
          <w:rFonts w:ascii="Arial" w:hAnsi="Arial"/>
        </w:rPr>
        <w:t>PAR LE TOIT FAMILIAL</w:t>
      </w:r>
    </w:p>
    <w:p w:rsidR="008611F0" w:rsidRDefault="008611F0" w:rsidP="000E442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AUPRES</w:t>
      </w:r>
      <w:r w:rsidR="006F0E9C">
        <w:rPr>
          <w:rFonts w:ascii="Arial" w:hAnsi="Arial"/>
        </w:rPr>
        <w:t xml:space="preserve"> </w:t>
      </w:r>
      <w:r w:rsidR="00750F02">
        <w:rPr>
          <w:rFonts w:ascii="Arial" w:hAnsi="Arial"/>
        </w:rPr>
        <w:t>DE LA CAISSE DES DEPOTS ET CONSIGNATIONS</w:t>
      </w:r>
    </w:p>
    <w:p w:rsidR="008611F0" w:rsidRDefault="008611F0" w:rsidP="008611F0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OCTROI DE LA GARANTIE PARTIELLE DE LA COMMUNE</w:t>
      </w:r>
    </w:p>
    <w:p w:rsidR="000F12ED" w:rsidRDefault="000F12ED">
      <w:pPr>
        <w:ind w:left="1418" w:hanging="1"/>
        <w:jc w:val="both"/>
        <w:rPr>
          <w:rFonts w:ascii="Arial" w:hAnsi="Arial"/>
          <w:sz w:val="22"/>
        </w:rPr>
      </w:pPr>
    </w:p>
    <w:p w:rsidR="00107673" w:rsidRDefault="00107673">
      <w:pPr>
        <w:ind w:left="1418" w:hanging="1"/>
        <w:jc w:val="both"/>
        <w:rPr>
          <w:rFonts w:ascii="Arial" w:hAnsi="Arial"/>
          <w:sz w:val="22"/>
        </w:rPr>
      </w:pPr>
    </w:p>
    <w:p w:rsidR="00107673" w:rsidRDefault="00107673">
      <w:pPr>
        <w:ind w:left="1418" w:hanging="1"/>
        <w:jc w:val="both"/>
        <w:rPr>
          <w:rFonts w:ascii="Arial" w:hAnsi="Arial"/>
          <w:sz w:val="22"/>
        </w:rPr>
      </w:pPr>
    </w:p>
    <w:p w:rsidR="000439AF" w:rsidRDefault="000439AF">
      <w:pPr>
        <w:ind w:left="1418" w:hanging="1"/>
        <w:jc w:val="both"/>
        <w:rPr>
          <w:rFonts w:ascii="Arial" w:hAnsi="Arial"/>
          <w:sz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47463E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107673" w:rsidRDefault="00107673" w:rsidP="0047463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Dans le cadre de l'opération de construction de 16 pavillons individuels locatifs située rue de Saint-Alban à Riorges, le Toit Familial est amené à contracter, auprès de la Caisse des Dépôts et Consignations, quatre emprunts d'un montant global de 1 320 922,00 €, dont les caractéristiques sont les suivantes :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W w:w="8755" w:type="dxa"/>
        <w:tblInd w:w="14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2518"/>
        <w:gridCol w:w="1559"/>
        <w:gridCol w:w="1559"/>
        <w:gridCol w:w="1559"/>
        <w:gridCol w:w="1560"/>
      </w:tblGrid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39BA">
              <w:rPr>
                <w:rFonts w:ascii="Arial" w:hAnsi="Arial" w:cs="Arial"/>
                <w:b/>
                <w:sz w:val="18"/>
                <w:szCs w:val="18"/>
              </w:rPr>
              <w:t>PLUS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39BA">
              <w:rPr>
                <w:rFonts w:ascii="Arial" w:hAnsi="Arial" w:cs="Arial"/>
                <w:b/>
                <w:sz w:val="18"/>
                <w:szCs w:val="18"/>
              </w:rPr>
              <w:t>PLUS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Foncier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39BA">
              <w:rPr>
                <w:rFonts w:ascii="Arial" w:hAnsi="Arial" w:cs="Arial"/>
                <w:b/>
                <w:sz w:val="18"/>
                <w:szCs w:val="18"/>
              </w:rPr>
              <w:t>PLAI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39BA">
              <w:rPr>
                <w:rFonts w:ascii="Arial" w:hAnsi="Arial" w:cs="Arial"/>
                <w:b/>
                <w:sz w:val="18"/>
                <w:szCs w:val="18"/>
              </w:rPr>
              <w:t>PLAI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Foncier</w:t>
            </w:r>
          </w:p>
        </w:tc>
      </w:tr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D39BA">
              <w:rPr>
                <w:rFonts w:ascii="Arial" w:hAnsi="Arial" w:cs="Arial"/>
                <w:sz w:val="18"/>
                <w:szCs w:val="18"/>
              </w:rPr>
              <w:t>Montant du prêt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505 900 €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230 394 €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475 220 €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109 408 €</w:t>
            </w:r>
          </w:p>
        </w:tc>
      </w:tr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D39BA">
              <w:rPr>
                <w:rFonts w:ascii="Arial" w:hAnsi="Arial" w:cs="Arial"/>
                <w:sz w:val="18"/>
                <w:szCs w:val="18"/>
              </w:rPr>
              <w:t xml:space="preserve">Taux d'intérêt 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du livret A en vigueur à la date d'effet du contrat de prêt</w:t>
            </w:r>
            <w:r>
              <w:rPr>
                <w:rFonts w:ascii="Arial" w:hAnsi="Arial" w:cs="Arial"/>
                <w:sz w:val="18"/>
                <w:szCs w:val="18"/>
              </w:rPr>
              <w:br/>
              <w:t>+ 60 pdb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du livret A en vigueur à la date d'effet du contrat de prêt</w:t>
            </w:r>
            <w:r>
              <w:rPr>
                <w:rFonts w:ascii="Arial" w:hAnsi="Arial" w:cs="Arial"/>
                <w:sz w:val="18"/>
                <w:szCs w:val="18"/>
              </w:rPr>
              <w:br/>
              <w:t>+ 60 pdb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du livret A en vigueur à la date d'effet du contrat de prêt</w:t>
            </w:r>
            <w:r>
              <w:rPr>
                <w:rFonts w:ascii="Arial" w:hAnsi="Arial" w:cs="Arial"/>
                <w:sz w:val="18"/>
                <w:szCs w:val="18"/>
              </w:rPr>
              <w:br/>
              <w:t>- 20 pdb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du livret A en vigueur à la date d'effet du contrat de prêt</w:t>
            </w:r>
            <w:r>
              <w:rPr>
                <w:rFonts w:ascii="Arial" w:hAnsi="Arial" w:cs="Arial"/>
                <w:sz w:val="18"/>
                <w:szCs w:val="18"/>
              </w:rPr>
              <w:br/>
              <w:t>- 20 pdb</w:t>
            </w:r>
          </w:p>
        </w:tc>
      </w:tr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D39BA">
              <w:rPr>
                <w:rFonts w:ascii="Arial" w:hAnsi="Arial" w:cs="Arial"/>
                <w:sz w:val="18"/>
                <w:szCs w:val="18"/>
              </w:rPr>
              <w:t>Périodicité des échéances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Annuelle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Annuelle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Annuelle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Annuelle</w:t>
            </w:r>
          </w:p>
        </w:tc>
      </w:tr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D39BA">
              <w:rPr>
                <w:rFonts w:ascii="Arial" w:hAnsi="Arial" w:cs="Arial"/>
                <w:sz w:val="18"/>
                <w:szCs w:val="18"/>
              </w:rPr>
              <w:t>Durée</w:t>
            </w:r>
            <w:r>
              <w:rPr>
                <w:rFonts w:ascii="Arial" w:hAnsi="Arial" w:cs="Arial"/>
                <w:sz w:val="18"/>
                <w:szCs w:val="18"/>
              </w:rPr>
              <w:t xml:space="preserve"> d'amortissement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ans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ans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ans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ans</w:t>
            </w:r>
          </w:p>
        </w:tc>
      </w:tr>
      <w:tr w:rsidR="00E20E27" w:rsidRPr="009D39BA" w:rsidTr="00B93B4D">
        <w:tc>
          <w:tcPr>
            <w:tcW w:w="2518" w:type="dxa"/>
            <w:vAlign w:val="center"/>
          </w:tcPr>
          <w:p w:rsidR="00E20E27" w:rsidRPr="009D39BA" w:rsidRDefault="00E20E27" w:rsidP="00913C57">
            <w:pPr>
              <w:spacing w:beforeLines="20" w:afterLines="20"/>
              <w:rPr>
                <w:rFonts w:ascii="Arial" w:hAnsi="Arial" w:cs="Arial"/>
                <w:sz w:val="18"/>
                <w:szCs w:val="18"/>
              </w:rPr>
            </w:pPr>
            <w:r w:rsidRPr="009D39BA">
              <w:rPr>
                <w:rFonts w:ascii="Arial" w:hAnsi="Arial" w:cs="Arial"/>
                <w:sz w:val="18"/>
                <w:szCs w:val="18"/>
              </w:rPr>
              <w:t>Taux de progressivité</w:t>
            </w:r>
            <w:r>
              <w:rPr>
                <w:rFonts w:ascii="Arial" w:hAnsi="Arial" w:cs="Arial"/>
                <w:sz w:val="18"/>
                <w:szCs w:val="18"/>
              </w:rPr>
              <w:t xml:space="preserve"> des annuités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0,00 % de l'an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0,00 % de l'an</w:t>
            </w:r>
          </w:p>
        </w:tc>
        <w:tc>
          <w:tcPr>
            <w:tcW w:w="1559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0,00 % de l'an</w:t>
            </w:r>
          </w:p>
        </w:tc>
        <w:tc>
          <w:tcPr>
            <w:tcW w:w="1560" w:type="dxa"/>
            <w:vAlign w:val="center"/>
          </w:tcPr>
          <w:p w:rsidR="00E20E27" w:rsidRPr="009D39BA" w:rsidRDefault="00E20E27" w:rsidP="00913C57">
            <w:pPr>
              <w:spacing w:beforeLines="20" w:afterLines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0,00 % de l'an</w:t>
            </w:r>
          </w:p>
        </w:tc>
      </w:tr>
    </w:tbl>
    <w:p w:rsidR="00E20E27" w:rsidRPr="0069597E" w:rsidRDefault="00E20E27" w:rsidP="00E20E27">
      <w:pPr>
        <w:ind w:left="1418" w:hanging="1"/>
        <w:jc w:val="both"/>
        <w:rPr>
          <w:rFonts w:ascii="Arial" w:hAnsi="Arial" w:cs="Arial"/>
          <w:sz w:val="16"/>
          <w:szCs w:val="16"/>
        </w:rPr>
      </w:pPr>
    </w:p>
    <w:p w:rsidR="00E20E27" w:rsidRDefault="00E20E27" w:rsidP="00E20E27">
      <w:pPr>
        <w:ind w:left="1418" w:hanging="1"/>
        <w:jc w:val="both"/>
        <w:rPr>
          <w:rFonts w:ascii="Arial" w:hAnsi="Arial" w:cs="Arial"/>
          <w:i/>
          <w:sz w:val="18"/>
          <w:szCs w:val="18"/>
        </w:rPr>
      </w:pPr>
      <w:r w:rsidRPr="0069597E">
        <w:rPr>
          <w:rFonts w:ascii="Arial" w:hAnsi="Arial" w:cs="Arial"/>
          <w:i/>
          <w:sz w:val="18"/>
          <w:szCs w:val="18"/>
        </w:rPr>
        <w:t>PLUS : prêt locatif à usag</w:t>
      </w:r>
      <w:r>
        <w:rPr>
          <w:rFonts w:ascii="Arial" w:hAnsi="Arial" w:cs="Arial"/>
          <w:i/>
          <w:sz w:val="18"/>
          <w:szCs w:val="18"/>
        </w:rPr>
        <w:t>e social</w:t>
      </w:r>
    </w:p>
    <w:p w:rsidR="00E20E27" w:rsidRPr="0069597E" w:rsidRDefault="00E20E27" w:rsidP="00E20E27">
      <w:pPr>
        <w:ind w:left="1418" w:hanging="1"/>
        <w:jc w:val="both"/>
        <w:rPr>
          <w:rFonts w:ascii="Arial" w:hAnsi="Arial" w:cs="Arial"/>
          <w:i/>
          <w:sz w:val="18"/>
          <w:szCs w:val="18"/>
        </w:rPr>
      </w:pPr>
      <w:r w:rsidRPr="0069597E">
        <w:rPr>
          <w:rFonts w:ascii="Arial" w:hAnsi="Arial" w:cs="Arial"/>
          <w:i/>
          <w:sz w:val="18"/>
          <w:szCs w:val="18"/>
        </w:rPr>
        <w:t>PLAI : prêt locatif aidé d'intégration</w:t>
      </w:r>
    </w:p>
    <w:p w:rsidR="00E20E27" w:rsidRDefault="00E20E27" w:rsidP="00E20E27">
      <w:pPr>
        <w:ind w:left="1418" w:hanging="1"/>
        <w:jc w:val="both"/>
        <w:rPr>
          <w:rFonts w:ascii="Arial" w:hAnsi="Arial" w:cs="Arial"/>
          <w:sz w:val="22"/>
        </w:rPr>
      </w:pP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Toit Familial</w:t>
      </w:r>
      <w:r w:rsidRPr="008611F0">
        <w:rPr>
          <w:rFonts w:ascii="Arial" w:hAnsi="Arial" w:cs="Arial"/>
          <w:sz w:val="22"/>
          <w:szCs w:val="22"/>
        </w:rPr>
        <w:t xml:space="preserve"> sollicite la garantie partielle de ce</w:t>
      </w:r>
      <w:r>
        <w:rPr>
          <w:rFonts w:ascii="Arial" w:hAnsi="Arial" w:cs="Arial"/>
          <w:sz w:val="22"/>
          <w:szCs w:val="22"/>
        </w:rPr>
        <w:t>s</w:t>
      </w:r>
      <w:r w:rsidRPr="008611F0">
        <w:rPr>
          <w:rFonts w:ascii="Arial" w:hAnsi="Arial" w:cs="Arial"/>
          <w:sz w:val="22"/>
          <w:szCs w:val="22"/>
        </w:rPr>
        <w:t xml:space="preserve"> emprunt</w:t>
      </w:r>
      <w:r>
        <w:rPr>
          <w:rFonts w:ascii="Arial" w:hAnsi="Arial" w:cs="Arial"/>
          <w:sz w:val="22"/>
          <w:szCs w:val="22"/>
        </w:rPr>
        <w:t>s</w:t>
      </w:r>
      <w:r w:rsidRPr="008611F0">
        <w:rPr>
          <w:rFonts w:ascii="Arial" w:hAnsi="Arial" w:cs="Arial"/>
          <w:sz w:val="22"/>
          <w:szCs w:val="22"/>
        </w:rPr>
        <w:t xml:space="preserve"> par la commune à hauteur de 79 % de </w:t>
      </w:r>
      <w:r>
        <w:rPr>
          <w:rFonts w:ascii="Arial" w:hAnsi="Arial" w:cs="Arial"/>
          <w:sz w:val="22"/>
          <w:szCs w:val="22"/>
        </w:rPr>
        <w:t>leur</w:t>
      </w:r>
      <w:r w:rsidRPr="008611F0">
        <w:rPr>
          <w:rFonts w:ascii="Arial" w:hAnsi="Arial" w:cs="Arial"/>
          <w:sz w:val="22"/>
          <w:szCs w:val="22"/>
        </w:rPr>
        <w:t xml:space="preserve"> montant, la garantie des 21 % restants étant sollicitée auprès du conseil général de la Loire.</w:t>
      </w:r>
      <w:r>
        <w:rPr>
          <w:rFonts w:ascii="Arial" w:hAnsi="Arial" w:cs="Arial"/>
          <w:sz w:val="22"/>
          <w:szCs w:val="22"/>
        </w:rPr>
        <w:t xml:space="preserve"> Le montant sur lequel porte la garantie de la commune s'élève à :</w:t>
      </w:r>
    </w:p>
    <w:p w:rsidR="00E20E27" w:rsidRDefault="00E20E27" w:rsidP="00E20E27">
      <w:pPr>
        <w:spacing w:before="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- 399 661,00 € pour le PLUS ;</w:t>
      </w:r>
    </w:p>
    <w:p w:rsidR="00E20E27" w:rsidRDefault="00E20E27" w:rsidP="00E20E27">
      <w:pPr>
        <w:spacing w:before="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- 182 011,26 € pour le PLUS Foncier ;</w:t>
      </w:r>
    </w:p>
    <w:p w:rsidR="00E20E27" w:rsidRDefault="00E20E27" w:rsidP="00E20E27">
      <w:pPr>
        <w:spacing w:before="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- 375 423,80 € pour le PLAI ;</w:t>
      </w:r>
    </w:p>
    <w:p w:rsidR="00E20E27" w:rsidRDefault="00E20E27" w:rsidP="00E20E27">
      <w:pPr>
        <w:spacing w:before="4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- 86 432,32 € pour le PLAI Foncier;</w:t>
      </w:r>
    </w:p>
    <w:p w:rsidR="00E20E27" w:rsidRDefault="00E20E27" w:rsidP="00E20E27">
      <w:pPr>
        <w:spacing w:before="40"/>
        <w:ind w:left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représentant</w:t>
      </w:r>
      <w:proofErr w:type="gramEnd"/>
      <w:r>
        <w:rPr>
          <w:rFonts w:ascii="Arial" w:hAnsi="Arial" w:cs="Arial"/>
          <w:sz w:val="22"/>
          <w:szCs w:val="22"/>
        </w:rPr>
        <w:t xml:space="preserve"> un montant total de : 1 043 528,38 €.</w:t>
      </w:r>
    </w:p>
    <w:p w:rsidR="0047463E" w:rsidRDefault="0047463E" w:rsidP="0047463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les articles L 2252-1 et L2252-2 du Code général des collectivités territoriales ;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l'article 2298 du Code Civil ;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80F13" w:rsidRDefault="00780F1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80F13" w:rsidRDefault="00780F1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9726A1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</w:t>
      </w:r>
      <w:r w:rsidR="00107673">
        <w:rPr>
          <w:rFonts w:ascii="Arial" w:hAnsi="Arial" w:cs="Arial"/>
          <w:sz w:val="22"/>
          <w:szCs w:val="22"/>
        </w:rPr>
        <w:t xml:space="preserve"> conseil municipal, à l'unanimité :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Pr="00107673" w:rsidRDefault="00107673" w:rsidP="00107673">
      <w:pPr>
        <w:ind w:left="1418"/>
        <w:jc w:val="center"/>
        <w:rPr>
          <w:rFonts w:ascii="Arial" w:hAnsi="Arial" w:cs="Arial"/>
          <w:b/>
          <w:sz w:val="22"/>
          <w:szCs w:val="22"/>
        </w:rPr>
      </w:pPr>
      <w:r w:rsidRPr="00107673">
        <w:rPr>
          <w:rFonts w:ascii="Arial" w:hAnsi="Arial" w:cs="Arial"/>
          <w:b/>
          <w:sz w:val="22"/>
          <w:szCs w:val="22"/>
        </w:rPr>
        <w:t>DELIBERE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Pr="00D26EED" w:rsidRDefault="00107673" w:rsidP="00D26EED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>Article 1</w:t>
      </w:r>
    </w:p>
    <w:p w:rsidR="00107673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07673">
        <w:rPr>
          <w:rFonts w:ascii="Arial" w:hAnsi="Arial" w:cs="Arial"/>
          <w:sz w:val="22"/>
          <w:szCs w:val="22"/>
        </w:rPr>
        <w:t>'assemblée délibérante accorde</w:t>
      </w:r>
      <w:r w:rsidR="00D26EED">
        <w:rPr>
          <w:rFonts w:ascii="Arial" w:hAnsi="Arial" w:cs="Arial"/>
          <w:sz w:val="22"/>
          <w:szCs w:val="22"/>
        </w:rPr>
        <w:t xml:space="preserve"> sa garantie à hauteur de 79 % pour le remboursement </w:t>
      </w:r>
      <w:r w:rsidR="00E20E27">
        <w:rPr>
          <w:rFonts w:ascii="Arial" w:hAnsi="Arial" w:cs="Arial"/>
          <w:sz w:val="22"/>
          <w:szCs w:val="22"/>
        </w:rPr>
        <w:t xml:space="preserve">de quatre </w:t>
      </w:r>
      <w:r w:rsidR="00D26EED">
        <w:rPr>
          <w:rFonts w:ascii="Arial" w:hAnsi="Arial" w:cs="Arial"/>
          <w:sz w:val="22"/>
          <w:szCs w:val="22"/>
        </w:rPr>
        <w:t>emprunt</w:t>
      </w:r>
      <w:r w:rsidR="00E20E27">
        <w:rPr>
          <w:rFonts w:ascii="Arial" w:hAnsi="Arial" w:cs="Arial"/>
          <w:sz w:val="22"/>
          <w:szCs w:val="22"/>
        </w:rPr>
        <w:t>s</w:t>
      </w:r>
      <w:r w:rsidR="00D26EED">
        <w:rPr>
          <w:rFonts w:ascii="Arial" w:hAnsi="Arial" w:cs="Arial"/>
          <w:sz w:val="22"/>
          <w:szCs w:val="22"/>
        </w:rPr>
        <w:t xml:space="preserve"> d'un montant total de </w:t>
      </w:r>
      <w:r w:rsidR="00E20E27">
        <w:rPr>
          <w:rFonts w:ascii="Arial" w:hAnsi="Arial" w:cs="Arial"/>
          <w:sz w:val="22"/>
          <w:szCs w:val="22"/>
        </w:rPr>
        <w:t xml:space="preserve">1 320 922,00 </w:t>
      </w:r>
      <w:r w:rsidR="00D26EED">
        <w:rPr>
          <w:rFonts w:ascii="Arial" w:hAnsi="Arial" w:cs="Arial"/>
          <w:sz w:val="22"/>
          <w:szCs w:val="22"/>
        </w:rPr>
        <w:t>€ souscrit</w:t>
      </w:r>
      <w:r w:rsidR="00E20E27">
        <w:rPr>
          <w:rFonts w:ascii="Arial" w:hAnsi="Arial" w:cs="Arial"/>
          <w:sz w:val="22"/>
          <w:szCs w:val="22"/>
        </w:rPr>
        <w:t>s</w:t>
      </w:r>
      <w:r w:rsidR="00D26EED">
        <w:rPr>
          <w:rFonts w:ascii="Arial" w:hAnsi="Arial" w:cs="Arial"/>
          <w:sz w:val="22"/>
          <w:szCs w:val="22"/>
        </w:rPr>
        <w:t xml:space="preserve"> par le Toit Familial auprès de la Caisse des dépôts et consignations. Ce</w:t>
      </w:r>
      <w:r w:rsidR="00E20E27">
        <w:rPr>
          <w:rFonts w:ascii="Arial" w:hAnsi="Arial" w:cs="Arial"/>
          <w:sz w:val="22"/>
          <w:szCs w:val="22"/>
        </w:rPr>
        <w:t>s</w:t>
      </w:r>
      <w:r w:rsidR="00D26EED">
        <w:rPr>
          <w:rFonts w:ascii="Arial" w:hAnsi="Arial" w:cs="Arial"/>
          <w:sz w:val="22"/>
          <w:szCs w:val="22"/>
        </w:rPr>
        <w:t xml:space="preserve"> prêt</w:t>
      </w:r>
      <w:r w:rsidR="00E20E27">
        <w:rPr>
          <w:rFonts w:ascii="Arial" w:hAnsi="Arial" w:cs="Arial"/>
          <w:sz w:val="22"/>
          <w:szCs w:val="22"/>
        </w:rPr>
        <w:t>s</w:t>
      </w:r>
      <w:r w:rsidR="00D26EED">
        <w:rPr>
          <w:rFonts w:ascii="Arial" w:hAnsi="Arial" w:cs="Arial"/>
          <w:sz w:val="22"/>
          <w:szCs w:val="22"/>
        </w:rPr>
        <w:t xml:space="preserve"> </w:t>
      </w:r>
      <w:r w:rsidR="00E20E27">
        <w:rPr>
          <w:rFonts w:ascii="Arial" w:hAnsi="Arial" w:cs="Arial"/>
          <w:sz w:val="22"/>
          <w:szCs w:val="22"/>
        </w:rPr>
        <w:t>sont</w:t>
      </w:r>
      <w:r w:rsidR="00D26EED">
        <w:rPr>
          <w:rFonts w:ascii="Arial" w:hAnsi="Arial" w:cs="Arial"/>
          <w:sz w:val="22"/>
          <w:szCs w:val="22"/>
        </w:rPr>
        <w:t xml:space="preserve"> destiné</w:t>
      </w:r>
      <w:r w:rsidR="00E20E27">
        <w:rPr>
          <w:rFonts w:ascii="Arial" w:hAnsi="Arial" w:cs="Arial"/>
          <w:sz w:val="22"/>
          <w:szCs w:val="22"/>
        </w:rPr>
        <w:t>s</w:t>
      </w:r>
      <w:r w:rsidR="00D26EED">
        <w:rPr>
          <w:rFonts w:ascii="Arial" w:hAnsi="Arial" w:cs="Arial"/>
          <w:sz w:val="22"/>
          <w:szCs w:val="22"/>
        </w:rPr>
        <w:t xml:space="preserve"> à financer la construction de </w:t>
      </w:r>
      <w:r w:rsidR="00E20E27">
        <w:rPr>
          <w:rFonts w:ascii="Arial" w:hAnsi="Arial" w:cs="Arial"/>
          <w:sz w:val="22"/>
          <w:szCs w:val="22"/>
        </w:rPr>
        <w:t xml:space="preserve">16 </w:t>
      </w:r>
      <w:r w:rsidR="00D26EED">
        <w:rPr>
          <w:rFonts w:ascii="Arial" w:hAnsi="Arial" w:cs="Arial"/>
          <w:sz w:val="22"/>
          <w:szCs w:val="22"/>
        </w:rPr>
        <w:t>pavillons individuels rue de Saint-Alban à Riorges.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Pr="00D26EED" w:rsidRDefault="00D26EED" w:rsidP="00D26EED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2 – Les caractéristiques d</w:t>
      </w:r>
      <w:r w:rsidR="00E20E27"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z w:val="22"/>
          <w:szCs w:val="22"/>
        </w:rPr>
        <w:t xml:space="preserve"> prêt</w:t>
      </w:r>
      <w:r w:rsidR="00E20E27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sont les suivantes :</w:t>
      </w:r>
    </w:p>
    <w:p w:rsidR="00E20E27" w:rsidRPr="00E20E27" w:rsidRDefault="00E20E27" w:rsidP="008611F0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20E27">
        <w:rPr>
          <w:rFonts w:ascii="Arial" w:hAnsi="Arial" w:cs="Arial"/>
          <w:b/>
          <w:sz w:val="22"/>
          <w:szCs w:val="22"/>
        </w:rPr>
        <w:t>Prêt PLUS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Montant du prêt : </w:t>
      </w:r>
      <w:r w:rsidR="00E20E27">
        <w:rPr>
          <w:rFonts w:ascii="Arial" w:hAnsi="Arial" w:cs="Arial"/>
          <w:sz w:val="22"/>
          <w:szCs w:val="22"/>
        </w:rPr>
        <w:t>505 900</w:t>
      </w:r>
      <w:r>
        <w:rPr>
          <w:rFonts w:ascii="Arial" w:hAnsi="Arial" w:cs="Arial"/>
          <w:sz w:val="22"/>
          <w:szCs w:val="22"/>
        </w:rPr>
        <w:t xml:space="preserve"> €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total</w:t>
      </w:r>
      <w:r w:rsidR="00E20E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du prêt : </w:t>
      </w:r>
      <w:r w:rsidR="00176C2B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semestres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Périodicité des échéances : annuelle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Index : Livret A</w:t>
      </w:r>
    </w:p>
    <w:p w:rsidR="00D26EED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Taux d'intérêt actuariel annuel : </w:t>
      </w:r>
      <w:r w:rsidR="00E20E27">
        <w:rPr>
          <w:rFonts w:ascii="Arial" w:hAnsi="Arial" w:cs="Arial"/>
          <w:sz w:val="22"/>
          <w:szCs w:val="22"/>
        </w:rPr>
        <w:t>Taux du livret A en vigueur à la date d'effet du contrat de prêt + 60 pdb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Pr="00E20E27" w:rsidRDefault="00E20E27" w:rsidP="00E20E27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20E27">
        <w:rPr>
          <w:rFonts w:ascii="Arial" w:hAnsi="Arial" w:cs="Arial"/>
          <w:b/>
          <w:sz w:val="22"/>
          <w:szCs w:val="22"/>
        </w:rPr>
        <w:t>Prêt PLUS</w:t>
      </w:r>
      <w:r>
        <w:rPr>
          <w:rFonts w:ascii="Arial" w:hAnsi="Arial" w:cs="Arial"/>
          <w:b/>
          <w:sz w:val="22"/>
          <w:szCs w:val="22"/>
        </w:rPr>
        <w:t xml:space="preserve"> Foncier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du prêt : 230 394 €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totale du prêt : 120 semestres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Périodicité des échéances : annuelle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Index : Livret A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d'intérêt actuariel annuel : Taux du livret A en vigueur à la date d'effet du contrat de prêt + 60 pdb</w:t>
      </w:r>
    </w:p>
    <w:p w:rsidR="000439AF" w:rsidRDefault="000439AF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Pr="00E20E27" w:rsidRDefault="00E20E27" w:rsidP="00E20E27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20E27">
        <w:rPr>
          <w:rFonts w:ascii="Arial" w:hAnsi="Arial" w:cs="Arial"/>
          <w:b/>
          <w:sz w:val="22"/>
          <w:szCs w:val="22"/>
        </w:rPr>
        <w:t xml:space="preserve">Prêt </w:t>
      </w:r>
      <w:r>
        <w:rPr>
          <w:rFonts w:ascii="Arial" w:hAnsi="Arial" w:cs="Arial"/>
          <w:b/>
          <w:sz w:val="22"/>
          <w:szCs w:val="22"/>
        </w:rPr>
        <w:t>PLAI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du prêt : 475 220 €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totale du prêt : 80 semestres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Périodicité des échéances : annuelle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Index : Livret A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d'intérêt actuariel annuel : Taux du livret A en vigueur à la date d'effet du contrat de prêt – 20 pdb</w:t>
      </w:r>
    </w:p>
    <w:p w:rsidR="000439AF" w:rsidRDefault="000439AF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Pr="00E20E27" w:rsidRDefault="00E20E27" w:rsidP="00E20E27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E20E27">
        <w:rPr>
          <w:rFonts w:ascii="Arial" w:hAnsi="Arial" w:cs="Arial"/>
          <w:b/>
          <w:sz w:val="22"/>
          <w:szCs w:val="22"/>
        </w:rPr>
        <w:t xml:space="preserve">Prêt </w:t>
      </w:r>
      <w:r>
        <w:rPr>
          <w:rFonts w:ascii="Arial" w:hAnsi="Arial" w:cs="Arial"/>
          <w:b/>
          <w:sz w:val="22"/>
          <w:szCs w:val="22"/>
        </w:rPr>
        <w:t>PLAI Foncier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du prêt : 109 408 €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Durée totale du prêt : </w:t>
      </w:r>
      <w:r w:rsidR="009674F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 semestres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Périodicité des échéances : annuelle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Index : Livret A</w:t>
      </w:r>
    </w:p>
    <w:p w:rsidR="00E20E27" w:rsidRDefault="00E20E27" w:rsidP="00E20E2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d'intérêt actuariel annuel : Taux du livret A en vigueur à la date d'effet du contrat de prêt - 20 pdb</w:t>
      </w:r>
    </w:p>
    <w:p w:rsidR="00E20E27" w:rsidRDefault="00E20E2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439AF" w:rsidRDefault="000439AF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Pr="00D26EED" w:rsidRDefault="0047463E" w:rsidP="0047463E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3 – La garantie est apportée aux conditions suivantes :</w:t>
      </w:r>
    </w:p>
    <w:p w:rsidR="00D26EED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garantie de la collectivité est accordée pour la durée totale d</w:t>
      </w:r>
      <w:r w:rsidR="00E20E2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prêt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et porte sur l'ensemble des sommes contractuellement dues par le Toit Familial, dont il ne se serait pas acquitté à la date de leur exigibilité.</w:t>
      </w: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Default="00E20E2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Default="00E20E2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 notification de l'impayé par lettre simple de la Caisse des dépôts et consignations, la collectivité s'engage à se substituer au Toit Familial </w:t>
      </w:r>
      <w:r w:rsidR="00F24373">
        <w:rPr>
          <w:rFonts w:ascii="Arial" w:hAnsi="Arial" w:cs="Arial"/>
          <w:sz w:val="22"/>
          <w:szCs w:val="22"/>
        </w:rPr>
        <w:t>pour</w:t>
      </w:r>
      <w:r>
        <w:rPr>
          <w:rFonts w:ascii="Arial" w:hAnsi="Arial" w:cs="Arial"/>
          <w:sz w:val="22"/>
          <w:szCs w:val="22"/>
        </w:rPr>
        <w:t xml:space="preserve"> son paiement, en renonçant au bénéfice de discussion et sans jamais opposer le défaut de ressources nécessaires à ce règlement.</w:t>
      </w: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Pr="00D26EED" w:rsidRDefault="0047463E" w:rsidP="0047463E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4</w:t>
      </w:r>
    </w:p>
    <w:p w:rsidR="0047463E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="000B0734"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sz w:val="22"/>
          <w:szCs w:val="22"/>
        </w:rPr>
        <w:t>s'engage, pendant toute la durée d</w:t>
      </w:r>
      <w:r w:rsidR="00E20E2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prêt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à libérer, en cas de besoin, des ressources suffisantes pour couvrir les charges de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emprunt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084FD0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4FD0" w:rsidRPr="00D26EED" w:rsidRDefault="00084FD0" w:rsidP="00084FD0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5</w:t>
      </w:r>
    </w:p>
    <w:p w:rsidR="00084FD0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="000B0734"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sz w:val="22"/>
          <w:szCs w:val="22"/>
        </w:rPr>
        <w:t>autorise le maire à intervenir au</w:t>
      </w:r>
      <w:r w:rsidR="00E20E2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contrat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prêt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qui ser</w:t>
      </w:r>
      <w:r w:rsidR="00E20E27">
        <w:rPr>
          <w:rFonts w:ascii="Arial" w:hAnsi="Arial" w:cs="Arial"/>
          <w:sz w:val="22"/>
          <w:szCs w:val="22"/>
        </w:rPr>
        <w:t>ont</w:t>
      </w:r>
      <w:r>
        <w:rPr>
          <w:rFonts w:ascii="Arial" w:hAnsi="Arial" w:cs="Arial"/>
          <w:sz w:val="22"/>
          <w:szCs w:val="22"/>
        </w:rPr>
        <w:t xml:space="preserve"> passé</w:t>
      </w:r>
      <w:r w:rsidR="00E20E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entre la </w:t>
      </w:r>
      <w:r w:rsidR="00F24373">
        <w:rPr>
          <w:rFonts w:ascii="Arial" w:hAnsi="Arial" w:cs="Arial"/>
          <w:sz w:val="22"/>
          <w:szCs w:val="22"/>
        </w:rPr>
        <w:t>Caisse</w:t>
      </w:r>
      <w:r>
        <w:rPr>
          <w:rFonts w:ascii="Arial" w:hAnsi="Arial" w:cs="Arial"/>
          <w:sz w:val="22"/>
          <w:szCs w:val="22"/>
        </w:rPr>
        <w:t xml:space="preserve"> des dépôts et consignations et l'emprunteur.</w:t>
      </w: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D26EED" w:rsidSect="00106388">
      <w:headerReference w:type="even" r:id="rId7"/>
      <w:headerReference w:type="default" r:id="rId8"/>
      <w:footerReference w:type="even" r:id="rId9"/>
      <w:footerReference w:type="first" r:id="rId10"/>
      <w:pgSz w:w="11907" w:h="16840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3E" w:rsidRDefault="0047463E">
      <w:r>
        <w:separator/>
      </w:r>
    </w:p>
  </w:endnote>
  <w:endnote w:type="continuationSeparator" w:id="0">
    <w:p w:rsidR="0047463E" w:rsidRDefault="0047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27" w:rsidRDefault="00E20E27" w:rsidP="00E20E27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AF" w:rsidRDefault="000439AF" w:rsidP="000439AF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3E" w:rsidRDefault="0047463E">
      <w:r>
        <w:separator/>
      </w:r>
    </w:p>
  </w:footnote>
  <w:footnote w:type="continuationSeparator" w:id="0">
    <w:p w:rsidR="0047463E" w:rsidRDefault="00474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E" w:rsidRDefault="0047463E" w:rsidP="008E051C">
    <w:pPr>
      <w:pStyle w:val="En-tte"/>
      <w:ind w:left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3E" w:rsidRDefault="0047463E" w:rsidP="00185770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BB9"/>
    <w:multiLevelType w:val="hybridMultilevel"/>
    <w:tmpl w:val="5D02747E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">
    <w:nsid w:val="1CCB4967"/>
    <w:multiLevelType w:val="hybridMultilevel"/>
    <w:tmpl w:val="66C8791C"/>
    <w:lvl w:ilvl="0" w:tplc="BD76CC86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47F62BC"/>
    <w:multiLevelType w:val="multilevel"/>
    <w:tmpl w:val="3DE4AEC0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9816913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4">
    <w:nsid w:val="29AF5E37"/>
    <w:multiLevelType w:val="singleLevel"/>
    <w:tmpl w:val="E6668506"/>
    <w:lvl w:ilvl="0"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5">
    <w:nsid w:val="3D610151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42263C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A1650C0"/>
    <w:multiLevelType w:val="multilevel"/>
    <w:tmpl w:val="848ED440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5A890E4C"/>
    <w:multiLevelType w:val="hybridMultilevel"/>
    <w:tmpl w:val="3DE4AEC0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1">
    <w:nsid w:val="6A342A6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88585D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13">
    <w:nsid w:val="6E9C31EF"/>
    <w:multiLevelType w:val="hybridMultilevel"/>
    <w:tmpl w:val="9892BEB0"/>
    <w:lvl w:ilvl="0" w:tplc="327E54D0"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4">
    <w:nsid w:val="6F7D5914"/>
    <w:multiLevelType w:val="hybridMultilevel"/>
    <w:tmpl w:val="5456C068"/>
    <w:lvl w:ilvl="0" w:tplc="327E54D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>
    <w:nsid w:val="73891BE8"/>
    <w:multiLevelType w:val="hybridMultilevel"/>
    <w:tmpl w:val="848ED440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745954C9"/>
    <w:multiLevelType w:val="multilevel"/>
    <w:tmpl w:val="5D02747E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75865664"/>
    <w:multiLevelType w:val="multilevel"/>
    <w:tmpl w:val="5456C068"/>
    <w:lvl w:ilvl="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764B63CB"/>
    <w:multiLevelType w:val="hybridMultilevel"/>
    <w:tmpl w:val="3B383A84"/>
    <w:lvl w:ilvl="0" w:tplc="C310BA30">
      <w:start w:val="40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2B"/>
    <w:rsid w:val="000062D2"/>
    <w:rsid w:val="00032653"/>
    <w:rsid w:val="00033BEE"/>
    <w:rsid w:val="000439AF"/>
    <w:rsid w:val="0004423D"/>
    <w:rsid w:val="00063306"/>
    <w:rsid w:val="00082658"/>
    <w:rsid w:val="00084FD0"/>
    <w:rsid w:val="00087D15"/>
    <w:rsid w:val="000A19BF"/>
    <w:rsid w:val="000B0078"/>
    <w:rsid w:val="000B0734"/>
    <w:rsid w:val="000C0C11"/>
    <w:rsid w:val="000E4428"/>
    <w:rsid w:val="000F12ED"/>
    <w:rsid w:val="00105FE2"/>
    <w:rsid w:val="00106388"/>
    <w:rsid w:val="00107673"/>
    <w:rsid w:val="001131CF"/>
    <w:rsid w:val="0011326C"/>
    <w:rsid w:val="00121FDC"/>
    <w:rsid w:val="001237BE"/>
    <w:rsid w:val="00145424"/>
    <w:rsid w:val="00176C2B"/>
    <w:rsid w:val="001805F7"/>
    <w:rsid w:val="00185770"/>
    <w:rsid w:val="00187377"/>
    <w:rsid w:val="001A330C"/>
    <w:rsid w:val="001A6EED"/>
    <w:rsid w:val="001C66CA"/>
    <w:rsid w:val="001E5FB0"/>
    <w:rsid w:val="00202D5D"/>
    <w:rsid w:val="00212D09"/>
    <w:rsid w:val="00223994"/>
    <w:rsid w:val="0026545D"/>
    <w:rsid w:val="0028569E"/>
    <w:rsid w:val="00287B2D"/>
    <w:rsid w:val="002979C7"/>
    <w:rsid w:val="002B4AE3"/>
    <w:rsid w:val="003034BD"/>
    <w:rsid w:val="00347049"/>
    <w:rsid w:val="003563AC"/>
    <w:rsid w:val="003A495F"/>
    <w:rsid w:val="003C65E5"/>
    <w:rsid w:val="00412895"/>
    <w:rsid w:val="004323A7"/>
    <w:rsid w:val="004516BF"/>
    <w:rsid w:val="004547CC"/>
    <w:rsid w:val="004720E9"/>
    <w:rsid w:val="0047463E"/>
    <w:rsid w:val="0047550C"/>
    <w:rsid w:val="004774B8"/>
    <w:rsid w:val="004847FB"/>
    <w:rsid w:val="0048577E"/>
    <w:rsid w:val="004A1DA3"/>
    <w:rsid w:val="004A683E"/>
    <w:rsid w:val="004F3A2B"/>
    <w:rsid w:val="00502FD4"/>
    <w:rsid w:val="005266ED"/>
    <w:rsid w:val="00564B39"/>
    <w:rsid w:val="00565293"/>
    <w:rsid w:val="005733FF"/>
    <w:rsid w:val="00573B93"/>
    <w:rsid w:val="005A79AA"/>
    <w:rsid w:val="005B25B4"/>
    <w:rsid w:val="005B56F5"/>
    <w:rsid w:val="005C0611"/>
    <w:rsid w:val="005E6805"/>
    <w:rsid w:val="005E6E14"/>
    <w:rsid w:val="00605FF1"/>
    <w:rsid w:val="00625B7F"/>
    <w:rsid w:val="00641AD0"/>
    <w:rsid w:val="00646230"/>
    <w:rsid w:val="00650FF5"/>
    <w:rsid w:val="00670D6F"/>
    <w:rsid w:val="00690F0C"/>
    <w:rsid w:val="0069597E"/>
    <w:rsid w:val="006A020B"/>
    <w:rsid w:val="006A57E3"/>
    <w:rsid w:val="006F0E9C"/>
    <w:rsid w:val="006F59C3"/>
    <w:rsid w:val="006F64B9"/>
    <w:rsid w:val="0070438E"/>
    <w:rsid w:val="00740589"/>
    <w:rsid w:val="00742A77"/>
    <w:rsid w:val="00750F02"/>
    <w:rsid w:val="00762A0F"/>
    <w:rsid w:val="00780F13"/>
    <w:rsid w:val="00784ADE"/>
    <w:rsid w:val="007B3B1C"/>
    <w:rsid w:val="007F26E9"/>
    <w:rsid w:val="007F5EEE"/>
    <w:rsid w:val="00802A87"/>
    <w:rsid w:val="00825BFE"/>
    <w:rsid w:val="00835412"/>
    <w:rsid w:val="0084086F"/>
    <w:rsid w:val="0085048F"/>
    <w:rsid w:val="00853C25"/>
    <w:rsid w:val="008611F0"/>
    <w:rsid w:val="0086603C"/>
    <w:rsid w:val="008813FC"/>
    <w:rsid w:val="008A24B6"/>
    <w:rsid w:val="008B476C"/>
    <w:rsid w:val="008C1640"/>
    <w:rsid w:val="008E051C"/>
    <w:rsid w:val="00913C57"/>
    <w:rsid w:val="00922502"/>
    <w:rsid w:val="0092294C"/>
    <w:rsid w:val="00927B62"/>
    <w:rsid w:val="00956055"/>
    <w:rsid w:val="009645FA"/>
    <w:rsid w:val="00966B9D"/>
    <w:rsid w:val="009674F9"/>
    <w:rsid w:val="009726A1"/>
    <w:rsid w:val="00986FD7"/>
    <w:rsid w:val="009970B0"/>
    <w:rsid w:val="009A4CCE"/>
    <w:rsid w:val="009C4047"/>
    <w:rsid w:val="009D39BA"/>
    <w:rsid w:val="009E4317"/>
    <w:rsid w:val="009F5480"/>
    <w:rsid w:val="00A0537E"/>
    <w:rsid w:val="00A17159"/>
    <w:rsid w:val="00A23BCE"/>
    <w:rsid w:val="00A86A07"/>
    <w:rsid w:val="00AD6B21"/>
    <w:rsid w:val="00AE1F82"/>
    <w:rsid w:val="00AE6C47"/>
    <w:rsid w:val="00B07FDC"/>
    <w:rsid w:val="00B12E73"/>
    <w:rsid w:val="00B4677A"/>
    <w:rsid w:val="00B5678B"/>
    <w:rsid w:val="00B642AB"/>
    <w:rsid w:val="00B81198"/>
    <w:rsid w:val="00BC6912"/>
    <w:rsid w:val="00BF72C5"/>
    <w:rsid w:val="00C45A2D"/>
    <w:rsid w:val="00C45AB2"/>
    <w:rsid w:val="00C52D37"/>
    <w:rsid w:val="00C740E7"/>
    <w:rsid w:val="00C776C0"/>
    <w:rsid w:val="00C820E3"/>
    <w:rsid w:val="00C9431A"/>
    <w:rsid w:val="00C97192"/>
    <w:rsid w:val="00CB7AFF"/>
    <w:rsid w:val="00CC2AB6"/>
    <w:rsid w:val="00CC59BF"/>
    <w:rsid w:val="00CD339C"/>
    <w:rsid w:val="00CD3F6D"/>
    <w:rsid w:val="00CE557A"/>
    <w:rsid w:val="00CF08D2"/>
    <w:rsid w:val="00D071F4"/>
    <w:rsid w:val="00D175AB"/>
    <w:rsid w:val="00D26EED"/>
    <w:rsid w:val="00D46286"/>
    <w:rsid w:val="00D65CDB"/>
    <w:rsid w:val="00D94464"/>
    <w:rsid w:val="00DA7ACB"/>
    <w:rsid w:val="00DE2126"/>
    <w:rsid w:val="00DF092D"/>
    <w:rsid w:val="00DF5FE7"/>
    <w:rsid w:val="00E15523"/>
    <w:rsid w:val="00E20E27"/>
    <w:rsid w:val="00E26ADA"/>
    <w:rsid w:val="00E4019F"/>
    <w:rsid w:val="00E6390E"/>
    <w:rsid w:val="00E71FE1"/>
    <w:rsid w:val="00E75FC7"/>
    <w:rsid w:val="00E764A7"/>
    <w:rsid w:val="00E8033D"/>
    <w:rsid w:val="00EA6336"/>
    <w:rsid w:val="00EB6FEF"/>
    <w:rsid w:val="00ED1FE4"/>
    <w:rsid w:val="00F078CD"/>
    <w:rsid w:val="00F1716A"/>
    <w:rsid w:val="00F24373"/>
    <w:rsid w:val="00F33065"/>
    <w:rsid w:val="00F46944"/>
    <w:rsid w:val="00FB35AD"/>
    <w:rsid w:val="00FD5147"/>
    <w:rsid w:val="00FF0283"/>
    <w:rsid w:val="00FF2AA5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9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20E9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20E9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C820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720E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4720E9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4720E9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4720E9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4720E9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20E9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customStyle="1" w:styleId="Paragraphe">
    <w:name w:val="Paragraphe"/>
    <w:basedOn w:val="Normal"/>
    <w:rsid w:val="004720E9"/>
    <w:pPr>
      <w:ind w:firstLine="1276"/>
      <w:jc w:val="both"/>
    </w:pPr>
  </w:style>
  <w:style w:type="paragraph" w:styleId="Textedebulles">
    <w:name w:val="Balloon Text"/>
    <w:basedOn w:val="Normal"/>
    <w:semiHidden/>
    <w:rsid w:val="000F12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39C"/>
    <w:tblPr>
      <w:tblInd w:w="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12</cp:revision>
  <cp:lastPrinted>2014-10-28T14:27:00Z</cp:lastPrinted>
  <dcterms:created xsi:type="dcterms:W3CDTF">2014-10-15T12:11:00Z</dcterms:created>
  <dcterms:modified xsi:type="dcterms:W3CDTF">2014-10-30T15:03:00Z</dcterms:modified>
</cp:coreProperties>
</file>