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79" w:rsidRPr="006700E2" w:rsidRDefault="00970979" w:rsidP="00F46EF0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970979" w:rsidRDefault="00C51079" w:rsidP="00F46EF0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70979">
        <w:rPr>
          <w:rFonts w:ascii="Arial" w:hAnsi="Arial"/>
        </w:rPr>
        <w:t xml:space="preserve">onseil municipal du </w:t>
      </w:r>
      <w:r w:rsidR="00D56410">
        <w:rPr>
          <w:rFonts w:ascii="Arial" w:hAnsi="Arial"/>
        </w:rPr>
        <w:t>22 mai 2014</w:t>
      </w:r>
      <w:r w:rsidR="00970979">
        <w:rPr>
          <w:rFonts w:ascii="Arial" w:hAnsi="Arial"/>
        </w:rPr>
        <w:tab/>
      </w:r>
      <w:r w:rsidR="00025824">
        <w:rPr>
          <w:rFonts w:ascii="Arial" w:hAnsi="Arial"/>
        </w:rPr>
        <w:t>2.</w:t>
      </w:r>
      <w:r w:rsidR="00D56410">
        <w:rPr>
          <w:rFonts w:ascii="Arial" w:hAnsi="Arial"/>
        </w:rPr>
        <w:t>2</w:t>
      </w:r>
    </w:p>
    <w:p w:rsidR="00E32922" w:rsidRDefault="00E32922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E32922" w:rsidRDefault="00E32922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E32922" w:rsidRDefault="00E32922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E32922" w:rsidRDefault="00E32922">
      <w:pPr>
        <w:pStyle w:val="Titre3"/>
      </w:pPr>
      <w:r>
        <w:t>FINANCES</w:t>
      </w:r>
    </w:p>
    <w:p w:rsidR="00E32922" w:rsidRDefault="00E32922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E32922" w:rsidRDefault="00E32922" w:rsidP="00AB1CF1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</w:t>
      </w:r>
      <w:r w:rsidR="00D56410">
        <w:rPr>
          <w:rFonts w:ascii="Arial" w:hAnsi="Arial"/>
        </w:rPr>
        <w:t>ES</w:t>
      </w:r>
      <w:r>
        <w:rPr>
          <w:rFonts w:ascii="Arial" w:hAnsi="Arial"/>
        </w:rPr>
        <w:t xml:space="preserve"> COMPTE</w:t>
      </w:r>
      <w:r w:rsidR="00D56410">
        <w:rPr>
          <w:rFonts w:ascii="Arial" w:hAnsi="Arial"/>
        </w:rPr>
        <w:t>S</w:t>
      </w:r>
      <w:r>
        <w:rPr>
          <w:rFonts w:ascii="Arial" w:hAnsi="Arial"/>
        </w:rPr>
        <w:t xml:space="preserve"> DE GESTION</w:t>
      </w:r>
      <w:r w:rsidR="00AB1C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DU </w:t>
      </w:r>
      <w:r w:rsidR="00AB1CF1">
        <w:rPr>
          <w:rFonts w:ascii="Arial" w:hAnsi="Arial"/>
        </w:rPr>
        <w:t>TRESORIER</w:t>
      </w:r>
    </w:p>
    <w:p w:rsidR="00E32922" w:rsidRDefault="006910F3" w:rsidP="006910F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POUR L'ANNEE 201</w:t>
      </w:r>
      <w:r w:rsidR="00D56410">
        <w:rPr>
          <w:rFonts w:ascii="Arial" w:hAnsi="Arial"/>
        </w:rPr>
        <w:t>3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D56410" w:rsidRDefault="00E32922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Suite au rapport effectué par</w:t>
      </w:r>
      <w:r w:rsidR="00D56410">
        <w:rPr>
          <w:rFonts w:ascii="Arial" w:hAnsi="Arial"/>
          <w:sz w:val="22"/>
        </w:rPr>
        <w:t xml:space="preserve"> </w:t>
      </w:r>
      <w:r w:rsidR="00D56410">
        <w:rPr>
          <w:rFonts w:ascii="Arial" w:hAnsi="Arial" w:cs="Arial"/>
          <w:sz w:val="22"/>
          <w:szCs w:val="22"/>
        </w:rPr>
        <w:t>Pierre BARNET, conseiller municipal délégué aux finances et au personnel :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conseil municipal :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AB1CF1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s'être fait présenter les budgets primitifs et supplémentaires de l'exercice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et les décisions modificatives qui s'y rattachent, les titres définitifs des créances à recouvrer, le détail des dépenses effectuées et celui des mandats délivrés, les bordereaux de titres de recettes, les bordereaux des mandats, le compte de gestion dressé par le </w:t>
      </w:r>
      <w:r w:rsidR="00AB1CF1">
        <w:rPr>
          <w:rFonts w:ascii="Arial" w:hAnsi="Arial"/>
          <w:sz w:val="22"/>
        </w:rPr>
        <w:t>trésorier</w:t>
      </w:r>
      <w:r>
        <w:rPr>
          <w:rFonts w:ascii="Arial" w:hAnsi="Arial"/>
          <w:sz w:val="22"/>
        </w:rPr>
        <w:t xml:space="preserve"> accompagné des états de développement des comptes de tiers ainsi que l'état de l'Actif, l'état du Passif, l'état des restes à recouvrer et l'état des restes à payer.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9709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avoir entendu et approuvé le compte administratif de l'exercice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 w:rsidR="00433AB1">
        <w:rPr>
          <w:rFonts w:ascii="Arial" w:hAnsi="Arial"/>
          <w:sz w:val="22"/>
        </w:rPr>
        <w:t xml:space="preserve"> (budget général et Rives du Combray) ;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AB1CF1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Après s'être assuré que le </w:t>
      </w:r>
      <w:r w:rsidR="00AB1CF1">
        <w:rPr>
          <w:rFonts w:ascii="Arial" w:hAnsi="Arial"/>
          <w:sz w:val="22"/>
        </w:rPr>
        <w:t>trésorier</w:t>
      </w:r>
      <w:r>
        <w:rPr>
          <w:rFonts w:ascii="Arial" w:hAnsi="Arial"/>
          <w:sz w:val="22"/>
        </w:rPr>
        <w:t xml:space="preserve"> a repris dans ses écritures le montant de chacun des soldes figurant au bilan de l'exercice 20</w:t>
      </w:r>
      <w:r w:rsidR="00C510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, celui de tous les titres de recettes émis et celui de tous les mandats de paiement ordonnancés et qu'il a procédé à toutes les opérations d'ordre qu'il lui a été prescrit de passer dans ses écritures.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Considérant l'exactitude des comptes.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9709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1° Statuant sur l'ensemble des opérations effectuées du 1</w:t>
      </w:r>
      <w:r w:rsidR="002664D2" w:rsidRPr="002664D2">
        <w:rPr>
          <w:rFonts w:ascii="Arial" w:hAnsi="Arial"/>
          <w:sz w:val="22"/>
          <w:vertAlign w:val="superscript"/>
        </w:rPr>
        <w:t>er</w:t>
      </w:r>
      <w:r w:rsidR="002664D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janvier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au 31 décembre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 w:rsidR="0002402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;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97097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2° Statuant sur l'exécution du budget de l'exercice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en ce qui concerne les différentes sections budgétaires et budgets annexes ;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3° Statuant sur la comptabilité des valeurs inactives ;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 w:rsidP="00AB1CF1">
      <w:pPr>
        <w:numPr>
          <w:ilvl w:val="0"/>
          <w:numId w:val="15"/>
        </w:numPr>
        <w:tabs>
          <w:tab w:val="clear" w:pos="1712"/>
          <w:tab w:val="num" w:pos="1985"/>
        </w:tabs>
        <w:ind w:left="1985" w:hanging="294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Déclare, </w:t>
      </w:r>
      <w:r w:rsidR="001646C9" w:rsidRPr="00C51079">
        <w:rPr>
          <w:rFonts w:ascii="Arial" w:hAnsi="Arial"/>
          <w:i/>
          <w:sz w:val="22"/>
        </w:rPr>
        <w:t xml:space="preserve">à </w:t>
      </w:r>
      <w:r w:rsidR="00433AB1" w:rsidRPr="00C51079">
        <w:rPr>
          <w:rFonts w:ascii="Arial" w:hAnsi="Arial"/>
          <w:i/>
          <w:sz w:val="22"/>
        </w:rPr>
        <w:t>l'unanimité</w:t>
      </w:r>
      <w:r w:rsidR="00DF13E2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que le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compte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de gestion dressé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, pour l'exercice 20</w:t>
      </w:r>
      <w:r w:rsidR="00970979">
        <w:rPr>
          <w:rFonts w:ascii="Arial" w:hAnsi="Arial"/>
          <w:sz w:val="22"/>
        </w:rPr>
        <w:t>1</w:t>
      </w:r>
      <w:r w:rsidR="00D5641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par le </w:t>
      </w:r>
      <w:r w:rsidR="00AB1CF1">
        <w:rPr>
          <w:rFonts w:ascii="Arial" w:hAnsi="Arial"/>
          <w:sz w:val="22"/>
        </w:rPr>
        <w:t>trésorier</w:t>
      </w:r>
      <w:r>
        <w:rPr>
          <w:rFonts w:ascii="Arial" w:hAnsi="Arial"/>
          <w:sz w:val="22"/>
        </w:rPr>
        <w:t>, visé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et certifié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conforme</w:t>
      </w:r>
      <w:r w:rsidR="00D5641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par l'ordonnateur, n'appelle</w:t>
      </w:r>
      <w:r w:rsidR="00D56410">
        <w:rPr>
          <w:rFonts w:ascii="Arial" w:hAnsi="Arial"/>
          <w:sz w:val="22"/>
        </w:rPr>
        <w:t>nt</w:t>
      </w:r>
      <w:r>
        <w:rPr>
          <w:rFonts w:ascii="Arial" w:hAnsi="Arial"/>
          <w:sz w:val="22"/>
        </w:rPr>
        <w:t xml:space="preserve"> ni observation ni réserve de sa part.</w:t>
      </w: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jc w:val="both"/>
        <w:rPr>
          <w:rFonts w:ascii="Arial" w:hAnsi="Arial"/>
          <w:sz w:val="22"/>
        </w:rPr>
      </w:pPr>
    </w:p>
    <w:p w:rsidR="00E32922" w:rsidRDefault="00E32922">
      <w:pPr>
        <w:ind w:left="1418"/>
        <w:rPr>
          <w:rFonts w:ascii="Arial" w:hAnsi="Arial"/>
          <w:sz w:val="22"/>
        </w:rPr>
      </w:pPr>
    </w:p>
    <w:sectPr w:rsidR="00E32922" w:rsidSect="009C5703">
      <w:headerReference w:type="even" r:id="rId7"/>
      <w:headerReference w:type="default" r:id="rId8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FC" w:rsidRDefault="00962DFC">
      <w:r>
        <w:separator/>
      </w:r>
    </w:p>
  </w:endnote>
  <w:endnote w:type="continuationSeparator" w:id="0">
    <w:p w:rsidR="00962DFC" w:rsidRDefault="0096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FC" w:rsidRDefault="00962DFC">
      <w:r>
        <w:separator/>
      </w:r>
    </w:p>
  </w:footnote>
  <w:footnote w:type="continuationSeparator" w:id="0">
    <w:p w:rsidR="00962DFC" w:rsidRDefault="0096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3A" w:rsidRDefault="00C4083A">
    <w:pPr>
      <w:pStyle w:val="En-tte"/>
      <w:ind w:firstLine="226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3A" w:rsidRDefault="00C4083A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48320B7"/>
    <w:multiLevelType w:val="hybridMultilevel"/>
    <w:tmpl w:val="A07C5EE2"/>
    <w:lvl w:ilvl="0" w:tplc="5BB2541E">
      <w:start w:val="1"/>
      <w:numFmt w:val="bullet"/>
      <w:lvlText w:val="–"/>
      <w:lvlJc w:val="left"/>
      <w:pPr>
        <w:tabs>
          <w:tab w:val="num" w:pos="1712"/>
        </w:tabs>
        <w:ind w:left="171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0330C"/>
    <w:multiLevelType w:val="multilevel"/>
    <w:tmpl w:val="8B46A7FA"/>
    <w:lvl w:ilvl="0">
      <w:start w:val="1"/>
      <w:numFmt w:val="bullet"/>
      <w:lvlText w:val="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F7F362D"/>
    <w:multiLevelType w:val="singleLevel"/>
    <w:tmpl w:val="591C0984"/>
    <w:lvl w:ilvl="0">
      <w:numFmt w:val="bullet"/>
      <w:lvlText w:val="-"/>
      <w:lvlJc w:val="left"/>
      <w:pPr>
        <w:tabs>
          <w:tab w:val="num" w:pos="2629"/>
        </w:tabs>
        <w:ind w:left="2629" w:hanging="360"/>
      </w:pPr>
      <w:rPr>
        <w:rFonts w:hint="default"/>
        <w:u w:val="none"/>
      </w:rPr>
    </w:lvl>
  </w:abstractNum>
  <w:abstractNum w:abstractNumId="10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95923C4"/>
    <w:multiLevelType w:val="hybridMultilevel"/>
    <w:tmpl w:val="8B46A7FA"/>
    <w:lvl w:ilvl="0" w:tplc="A7A4E490">
      <w:start w:val="1"/>
      <w:numFmt w:val="bullet"/>
      <w:lvlText w:val="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9F5"/>
    <w:rsid w:val="00024025"/>
    <w:rsid w:val="00025824"/>
    <w:rsid w:val="0012249E"/>
    <w:rsid w:val="001646C9"/>
    <w:rsid w:val="002664D2"/>
    <w:rsid w:val="002D39F5"/>
    <w:rsid w:val="00352655"/>
    <w:rsid w:val="00433AB1"/>
    <w:rsid w:val="004A1590"/>
    <w:rsid w:val="005336A5"/>
    <w:rsid w:val="00567B6D"/>
    <w:rsid w:val="005D3BBA"/>
    <w:rsid w:val="005F72DA"/>
    <w:rsid w:val="00686197"/>
    <w:rsid w:val="00686E21"/>
    <w:rsid w:val="006910F3"/>
    <w:rsid w:val="00731F9D"/>
    <w:rsid w:val="007446D1"/>
    <w:rsid w:val="00962DFC"/>
    <w:rsid w:val="00970979"/>
    <w:rsid w:val="009C5703"/>
    <w:rsid w:val="00A71493"/>
    <w:rsid w:val="00AB1CF1"/>
    <w:rsid w:val="00B56546"/>
    <w:rsid w:val="00C0487A"/>
    <w:rsid w:val="00C4083A"/>
    <w:rsid w:val="00C425F2"/>
    <w:rsid w:val="00C51079"/>
    <w:rsid w:val="00C53A2B"/>
    <w:rsid w:val="00CA201D"/>
    <w:rsid w:val="00CA3F4F"/>
    <w:rsid w:val="00D20F39"/>
    <w:rsid w:val="00D56410"/>
    <w:rsid w:val="00D865A8"/>
    <w:rsid w:val="00DF13E2"/>
    <w:rsid w:val="00E32922"/>
    <w:rsid w:val="00E709CB"/>
    <w:rsid w:val="00E80560"/>
    <w:rsid w:val="00EB74D3"/>
    <w:rsid w:val="00F4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03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9C5703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9C5703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9C5703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9C5703"/>
    <w:rPr>
      <w:sz w:val="16"/>
      <w:szCs w:val="16"/>
    </w:rPr>
  </w:style>
  <w:style w:type="paragraph" w:styleId="Commentaire">
    <w:name w:val="annotation text"/>
    <w:basedOn w:val="Normal"/>
    <w:semiHidden/>
    <w:rsid w:val="009C5703"/>
  </w:style>
  <w:style w:type="paragraph" w:styleId="En-tte">
    <w:name w:val="header"/>
    <w:basedOn w:val="Normal"/>
    <w:rsid w:val="009C5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C5703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9C5703"/>
    <w:pPr>
      <w:ind w:firstLine="1276"/>
      <w:jc w:val="both"/>
    </w:pPr>
  </w:style>
  <w:style w:type="paragraph" w:styleId="Retraitcorpsdetexte">
    <w:name w:val="Body Text Indent"/>
    <w:basedOn w:val="Normal"/>
    <w:rsid w:val="009C5703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9C5703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9C5703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26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Secrétariat Général</dc:creator>
  <cp:keywords>bilan acquisitions, 1996</cp:keywords>
  <cp:lastModifiedBy>marbea</cp:lastModifiedBy>
  <cp:revision>3</cp:revision>
  <cp:lastPrinted>2012-04-13T14:29:00Z</cp:lastPrinted>
  <dcterms:created xsi:type="dcterms:W3CDTF">2014-05-27T08:52:00Z</dcterms:created>
  <dcterms:modified xsi:type="dcterms:W3CDTF">2014-05-27T08:54:00Z</dcterms:modified>
</cp:coreProperties>
</file>