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58" w:rsidRPr="0036558A" w:rsidRDefault="00DB0B58" w:rsidP="00251332">
      <w:pPr>
        <w:pStyle w:val="Titre1"/>
        <w:ind w:left="567"/>
        <w:rPr>
          <w:rFonts w:ascii="Arial Black" w:hAnsi="Arial Black"/>
        </w:rPr>
      </w:pPr>
      <w:r w:rsidRPr="0036558A">
        <w:rPr>
          <w:rFonts w:ascii="Arial Black" w:hAnsi="Arial Black"/>
        </w:rPr>
        <w:t>Ville de Riorges</w:t>
      </w:r>
    </w:p>
    <w:p w:rsidR="00DB0B58" w:rsidRPr="0036558A" w:rsidRDefault="009F358F" w:rsidP="00CB0D6B">
      <w:pPr>
        <w:pStyle w:val="Titre1"/>
        <w:tabs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AE5287" w:rsidRPr="0036558A">
        <w:rPr>
          <w:rFonts w:ascii="Arial" w:hAnsi="Arial"/>
        </w:rPr>
        <w:t>onseil</w:t>
      </w:r>
      <w:r w:rsidR="00DB0B58" w:rsidRPr="0036558A">
        <w:rPr>
          <w:rFonts w:ascii="Arial" w:hAnsi="Arial"/>
        </w:rPr>
        <w:t xml:space="preserve"> municipal du </w:t>
      </w:r>
      <w:r w:rsidR="0036558A" w:rsidRPr="0036558A">
        <w:rPr>
          <w:rFonts w:ascii="Arial" w:hAnsi="Arial"/>
        </w:rPr>
        <w:t>3 juillet</w:t>
      </w:r>
      <w:r w:rsidR="00DB0B58" w:rsidRPr="0036558A">
        <w:rPr>
          <w:rFonts w:ascii="Arial" w:hAnsi="Arial"/>
        </w:rPr>
        <w:t xml:space="preserve"> 201</w:t>
      </w:r>
      <w:r w:rsidR="00615A6A" w:rsidRPr="0036558A">
        <w:rPr>
          <w:rFonts w:ascii="Arial" w:hAnsi="Arial"/>
        </w:rPr>
        <w:t>4</w:t>
      </w:r>
      <w:r w:rsidR="00DB0B58" w:rsidRPr="0036558A">
        <w:rPr>
          <w:rFonts w:ascii="Arial" w:hAnsi="Arial"/>
        </w:rPr>
        <w:tab/>
      </w:r>
      <w:r w:rsidR="00656E31">
        <w:rPr>
          <w:rFonts w:ascii="Arial" w:hAnsi="Arial"/>
        </w:rPr>
        <w:t>2.1</w:t>
      </w:r>
    </w:p>
    <w:p w:rsidR="00D34E51" w:rsidRPr="0036558A" w:rsidRDefault="00D34E51">
      <w:pPr>
        <w:tabs>
          <w:tab w:val="left" w:pos="1276"/>
          <w:tab w:val="left" w:pos="3261"/>
          <w:tab w:val="left" w:pos="7230"/>
        </w:tabs>
        <w:ind w:left="2268"/>
        <w:jc w:val="center"/>
        <w:rPr>
          <w:rFonts w:ascii="Arial" w:hAnsi="Arial"/>
          <w:b/>
          <w:sz w:val="22"/>
        </w:rPr>
      </w:pPr>
    </w:p>
    <w:p w:rsidR="00D34E51" w:rsidRPr="0036558A" w:rsidRDefault="00D34E51">
      <w:pPr>
        <w:tabs>
          <w:tab w:val="left" w:pos="1276"/>
          <w:tab w:val="left" w:pos="3261"/>
          <w:tab w:val="left" w:pos="7230"/>
        </w:tabs>
        <w:ind w:left="2268"/>
        <w:jc w:val="center"/>
        <w:rPr>
          <w:rFonts w:ascii="Arial" w:hAnsi="Arial"/>
          <w:b/>
          <w:sz w:val="22"/>
        </w:rPr>
      </w:pPr>
    </w:p>
    <w:p w:rsidR="00D34E51" w:rsidRPr="0036558A" w:rsidRDefault="00D34E51">
      <w:pPr>
        <w:tabs>
          <w:tab w:val="left" w:pos="1276"/>
          <w:tab w:val="left" w:pos="3261"/>
          <w:tab w:val="left" w:pos="7230"/>
        </w:tabs>
        <w:ind w:left="2268"/>
        <w:jc w:val="center"/>
        <w:rPr>
          <w:rFonts w:ascii="Arial" w:hAnsi="Arial"/>
          <w:b/>
          <w:sz w:val="22"/>
        </w:rPr>
      </w:pPr>
    </w:p>
    <w:p w:rsidR="00D34E51" w:rsidRPr="0036558A" w:rsidRDefault="00D34E51">
      <w:pPr>
        <w:pStyle w:val="Titre3"/>
      </w:pPr>
      <w:r w:rsidRPr="0036558A">
        <w:t>FINANCES</w:t>
      </w:r>
    </w:p>
    <w:p w:rsidR="00D34E51" w:rsidRPr="0036558A" w:rsidRDefault="00D34E51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36558A" w:rsidRPr="0036558A" w:rsidRDefault="0036558A" w:rsidP="0036558A">
      <w:pPr>
        <w:pStyle w:val="Retraitcorpsdetexte3"/>
        <w:jc w:val="right"/>
        <w:rPr>
          <w:rFonts w:ascii="Arial" w:hAnsi="Arial"/>
        </w:rPr>
      </w:pPr>
      <w:r w:rsidRPr="0036558A">
        <w:rPr>
          <w:rFonts w:ascii="Arial" w:hAnsi="Arial"/>
        </w:rPr>
        <w:t>DUREES D’AMORTISSEMENT DES IMMOBILISATIONS</w:t>
      </w:r>
    </w:p>
    <w:p w:rsidR="0036558A" w:rsidRPr="0036558A" w:rsidRDefault="0036558A" w:rsidP="0036558A">
      <w:pPr>
        <w:pStyle w:val="Retraitcorpsdetexte3"/>
        <w:jc w:val="right"/>
        <w:rPr>
          <w:rFonts w:ascii="Arial" w:hAnsi="Arial"/>
        </w:rPr>
      </w:pPr>
      <w:r w:rsidRPr="0036558A">
        <w:rPr>
          <w:rFonts w:ascii="Arial" w:hAnsi="Arial"/>
        </w:rPr>
        <w:t>MISE A JOUR</w:t>
      </w:r>
    </w:p>
    <w:p w:rsidR="0036558A" w:rsidRPr="0036558A" w:rsidRDefault="0036558A" w:rsidP="0036558A">
      <w:pPr>
        <w:ind w:left="1418"/>
        <w:jc w:val="both"/>
        <w:rPr>
          <w:rFonts w:ascii="Arial" w:hAnsi="Arial"/>
          <w:sz w:val="22"/>
        </w:rPr>
      </w:pPr>
    </w:p>
    <w:p w:rsidR="0036558A" w:rsidRDefault="0036558A" w:rsidP="0036558A">
      <w:pPr>
        <w:ind w:left="1418"/>
        <w:jc w:val="both"/>
        <w:rPr>
          <w:rFonts w:ascii="Arial" w:hAnsi="Arial"/>
          <w:sz w:val="22"/>
        </w:rPr>
      </w:pPr>
    </w:p>
    <w:p w:rsidR="009F358F" w:rsidRDefault="009F358F" w:rsidP="0036558A">
      <w:pPr>
        <w:ind w:left="1418"/>
        <w:jc w:val="both"/>
        <w:rPr>
          <w:rFonts w:ascii="Arial" w:hAnsi="Arial"/>
          <w:sz w:val="22"/>
        </w:rPr>
      </w:pPr>
    </w:p>
    <w:p w:rsidR="000B6813" w:rsidRPr="0036558A" w:rsidRDefault="000B6813" w:rsidP="0036558A">
      <w:pPr>
        <w:ind w:left="1418"/>
        <w:jc w:val="both"/>
        <w:rPr>
          <w:rFonts w:ascii="Arial" w:hAnsi="Arial"/>
          <w:sz w:val="22"/>
        </w:rPr>
      </w:pPr>
    </w:p>
    <w:p w:rsidR="0036558A" w:rsidRPr="0036558A" w:rsidRDefault="0036558A" w:rsidP="0036558A">
      <w:pPr>
        <w:ind w:left="1418"/>
        <w:jc w:val="both"/>
        <w:rPr>
          <w:rFonts w:ascii="Arial" w:hAnsi="Arial" w:cs="Arial"/>
          <w:sz w:val="22"/>
        </w:rPr>
      </w:pPr>
    </w:p>
    <w:p w:rsidR="009F358F" w:rsidRDefault="009F358F" w:rsidP="00824BED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Pierre BARNET, conseiller municipal délégué aux finances et au personnel, expose à l'assemblée :</w:t>
      </w:r>
    </w:p>
    <w:p w:rsidR="0036558A" w:rsidRPr="0036558A" w:rsidRDefault="0036558A" w:rsidP="0036558A">
      <w:pPr>
        <w:ind w:left="1418"/>
        <w:jc w:val="both"/>
        <w:rPr>
          <w:rFonts w:ascii="Arial" w:hAnsi="Arial" w:cs="Arial"/>
          <w:sz w:val="22"/>
        </w:rPr>
      </w:pPr>
    </w:p>
    <w:p w:rsidR="0036558A" w:rsidRPr="0036558A" w:rsidRDefault="009F358F" w:rsidP="0036558A">
      <w:pPr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"</w:t>
      </w:r>
      <w:r w:rsidR="0036558A" w:rsidRPr="0036558A">
        <w:rPr>
          <w:rFonts w:ascii="Arial" w:hAnsi="Arial" w:cs="Arial"/>
          <w:sz w:val="22"/>
        </w:rPr>
        <w:t xml:space="preserve">Dans le cadre de la réforme budgétaire et comptable M14, plusieurs délibérations ont été prises afin de préciser les modalités d’amortissement des </w:t>
      </w:r>
      <w:r w:rsidR="00395527" w:rsidRPr="0036558A">
        <w:rPr>
          <w:rFonts w:ascii="Arial" w:hAnsi="Arial" w:cs="Arial"/>
          <w:sz w:val="22"/>
        </w:rPr>
        <w:t>immobilisations</w:t>
      </w:r>
      <w:r w:rsidR="0036558A" w:rsidRPr="0036558A">
        <w:rPr>
          <w:rFonts w:ascii="Arial" w:hAnsi="Arial" w:cs="Arial"/>
          <w:sz w:val="22"/>
        </w:rPr>
        <w:t xml:space="preserve">. La M14 proposait à titre indicatif un éventail de durées pour chaque nature de bien à amortir ; celles-ci ont été </w:t>
      </w:r>
      <w:r w:rsidR="00395527" w:rsidRPr="0036558A">
        <w:rPr>
          <w:rFonts w:ascii="Arial" w:hAnsi="Arial" w:cs="Arial"/>
          <w:sz w:val="22"/>
        </w:rPr>
        <w:t>arrêtées</w:t>
      </w:r>
      <w:r w:rsidR="0036558A" w:rsidRPr="0036558A">
        <w:rPr>
          <w:rFonts w:ascii="Arial" w:hAnsi="Arial" w:cs="Arial"/>
          <w:sz w:val="22"/>
        </w:rPr>
        <w:t xml:space="preserve"> par délibérations du 19 décembre 1996, du 26 mars 1997 et du 12 juillet 2006.</w:t>
      </w:r>
    </w:p>
    <w:p w:rsidR="0036558A" w:rsidRPr="0036558A" w:rsidRDefault="0036558A" w:rsidP="0036558A">
      <w:pPr>
        <w:ind w:left="1418"/>
        <w:jc w:val="both"/>
        <w:rPr>
          <w:rFonts w:ascii="Arial" w:hAnsi="Arial" w:cs="Arial"/>
          <w:sz w:val="22"/>
        </w:rPr>
      </w:pPr>
    </w:p>
    <w:p w:rsidR="0036558A" w:rsidRPr="0036558A" w:rsidRDefault="0036558A" w:rsidP="0036558A">
      <w:pPr>
        <w:ind w:left="1418"/>
        <w:jc w:val="both"/>
        <w:rPr>
          <w:rFonts w:ascii="Arial" w:hAnsi="Arial" w:cs="Arial"/>
          <w:sz w:val="22"/>
        </w:rPr>
      </w:pPr>
      <w:r w:rsidRPr="0036558A">
        <w:rPr>
          <w:rFonts w:ascii="Arial" w:hAnsi="Arial" w:cs="Arial"/>
          <w:sz w:val="22"/>
        </w:rPr>
        <w:t xml:space="preserve">Le cadre comptable ayant évolué depuis la mise en place de la M14, ainsi que la nature des acquisitions, les évolutions n’apparaissent pas dans ces délibérations. Dans un </w:t>
      </w:r>
      <w:r w:rsidR="00395527" w:rsidRPr="0036558A">
        <w:rPr>
          <w:rFonts w:ascii="Arial" w:hAnsi="Arial" w:cs="Arial"/>
          <w:sz w:val="22"/>
        </w:rPr>
        <w:t>souci</w:t>
      </w:r>
      <w:r w:rsidRPr="0036558A">
        <w:rPr>
          <w:rFonts w:ascii="Arial" w:hAnsi="Arial" w:cs="Arial"/>
          <w:sz w:val="22"/>
        </w:rPr>
        <w:t xml:space="preserve"> de clarté, il convient d</w:t>
      </w:r>
      <w:r w:rsidR="00A36D28">
        <w:rPr>
          <w:rFonts w:ascii="Arial" w:hAnsi="Arial" w:cs="Arial"/>
          <w:sz w:val="22"/>
        </w:rPr>
        <w:t>e préciser à nouveau ces durées qui s'appliqueront à tous les biens dont l'amortissement débutera au 1</w:t>
      </w:r>
      <w:r w:rsidR="00A36D28" w:rsidRPr="00A36D28">
        <w:rPr>
          <w:rFonts w:ascii="Arial" w:hAnsi="Arial" w:cs="Arial"/>
          <w:sz w:val="22"/>
          <w:vertAlign w:val="superscript"/>
        </w:rPr>
        <w:t>er</w:t>
      </w:r>
      <w:r w:rsidR="00A36D28">
        <w:rPr>
          <w:rFonts w:ascii="Arial" w:hAnsi="Arial" w:cs="Arial"/>
          <w:sz w:val="22"/>
        </w:rPr>
        <w:t xml:space="preserve"> janvier 2015.</w:t>
      </w:r>
    </w:p>
    <w:p w:rsidR="0036558A" w:rsidRPr="0036558A" w:rsidRDefault="0036558A" w:rsidP="0036558A">
      <w:pPr>
        <w:ind w:left="1418"/>
        <w:jc w:val="both"/>
        <w:rPr>
          <w:rFonts w:ascii="Arial" w:hAnsi="Arial" w:cs="Arial"/>
          <w:sz w:val="22"/>
        </w:rPr>
      </w:pPr>
    </w:p>
    <w:p w:rsidR="0036558A" w:rsidRPr="0036558A" w:rsidRDefault="0036558A" w:rsidP="0036558A">
      <w:pPr>
        <w:numPr>
          <w:ilvl w:val="0"/>
          <w:numId w:val="14"/>
        </w:numPr>
        <w:tabs>
          <w:tab w:val="left" w:pos="7088"/>
        </w:tabs>
        <w:jc w:val="both"/>
        <w:rPr>
          <w:rFonts w:ascii="Arial" w:hAnsi="Arial" w:cs="Arial"/>
          <w:sz w:val="22"/>
        </w:rPr>
      </w:pPr>
      <w:r w:rsidRPr="0036558A">
        <w:rPr>
          <w:rFonts w:ascii="Arial" w:hAnsi="Arial" w:cs="Arial"/>
          <w:sz w:val="22"/>
        </w:rPr>
        <w:t>Immobilisations incorporelles</w:t>
      </w:r>
    </w:p>
    <w:p w:rsidR="0036558A" w:rsidRDefault="0036558A" w:rsidP="0036558A">
      <w:pPr>
        <w:numPr>
          <w:ilvl w:val="0"/>
          <w:numId w:val="15"/>
        </w:numPr>
        <w:tabs>
          <w:tab w:val="left" w:pos="7088"/>
        </w:tabs>
        <w:spacing w:before="40"/>
        <w:ind w:left="213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Logiciels</w:t>
      </w:r>
      <w:r w:rsidRPr="0036558A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</w:t>
      </w:r>
      <w:r w:rsidRPr="0036558A">
        <w:rPr>
          <w:rFonts w:ascii="Arial" w:hAnsi="Arial" w:cs="Arial"/>
          <w:sz w:val="22"/>
        </w:rPr>
        <w:t>2 ans</w:t>
      </w:r>
    </w:p>
    <w:p w:rsidR="00A36D28" w:rsidRPr="0036558A" w:rsidRDefault="00A36D28" w:rsidP="0036558A">
      <w:pPr>
        <w:numPr>
          <w:ilvl w:val="0"/>
          <w:numId w:val="15"/>
        </w:numPr>
        <w:tabs>
          <w:tab w:val="left" w:pos="7088"/>
        </w:tabs>
        <w:spacing w:before="40"/>
        <w:ind w:left="213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Logiciels &gt; 10 000 €</w:t>
      </w:r>
      <w:r>
        <w:rPr>
          <w:rFonts w:ascii="Arial" w:hAnsi="Arial" w:cs="Arial"/>
          <w:sz w:val="22"/>
        </w:rPr>
        <w:tab/>
        <w:t xml:space="preserve">  5 ans</w:t>
      </w:r>
    </w:p>
    <w:p w:rsidR="0036558A" w:rsidRPr="0036558A" w:rsidRDefault="0036558A" w:rsidP="0036558A">
      <w:pPr>
        <w:tabs>
          <w:tab w:val="left" w:pos="7088"/>
        </w:tabs>
        <w:ind w:left="1418"/>
        <w:jc w:val="both"/>
        <w:rPr>
          <w:rFonts w:ascii="Arial" w:hAnsi="Arial" w:cs="Arial"/>
          <w:sz w:val="22"/>
        </w:rPr>
      </w:pPr>
    </w:p>
    <w:p w:rsidR="0036558A" w:rsidRPr="0036558A" w:rsidRDefault="0036558A" w:rsidP="0036558A">
      <w:pPr>
        <w:numPr>
          <w:ilvl w:val="0"/>
          <w:numId w:val="14"/>
        </w:numPr>
        <w:tabs>
          <w:tab w:val="left" w:pos="7088"/>
        </w:tabs>
        <w:jc w:val="both"/>
        <w:rPr>
          <w:rFonts w:ascii="Arial" w:hAnsi="Arial" w:cs="Arial"/>
          <w:sz w:val="22"/>
        </w:rPr>
      </w:pPr>
      <w:r w:rsidRPr="0036558A">
        <w:rPr>
          <w:rFonts w:ascii="Arial" w:hAnsi="Arial" w:cs="Arial"/>
          <w:sz w:val="22"/>
        </w:rPr>
        <w:t>Immobilisations corporelles</w:t>
      </w:r>
    </w:p>
    <w:p w:rsidR="0036558A" w:rsidRPr="0036558A" w:rsidRDefault="0036558A" w:rsidP="0036558A">
      <w:pPr>
        <w:numPr>
          <w:ilvl w:val="0"/>
          <w:numId w:val="15"/>
        </w:numPr>
        <w:tabs>
          <w:tab w:val="left" w:pos="7088"/>
        </w:tabs>
        <w:spacing w:before="40"/>
        <w:ind w:left="213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Voitures</w:t>
      </w:r>
      <w:r w:rsidRPr="0036558A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</w:t>
      </w:r>
      <w:r w:rsidRPr="0036558A">
        <w:rPr>
          <w:rFonts w:ascii="Arial" w:hAnsi="Arial" w:cs="Arial"/>
          <w:sz w:val="22"/>
        </w:rPr>
        <w:t>5 ans</w:t>
      </w:r>
    </w:p>
    <w:p w:rsidR="0036558A" w:rsidRPr="0036558A" w:rsidRDefault="0036558A" w:rsidP="0036558A">
      <w:pPr>
        <w:numPr>
          <w:ilvl w:val="0"/>
          <w:numId w:val="15"/>
        </w:numPr>
        <w:tabs>
          <w:tab w:val="left" w:pos="7088"/>
        </w:tabs>
        <w:spacing w:before="40"/>
        <w:ind w:left="2137" w:hanging="357"/>
        <w:jc w:val="both"/>
        <w:rPr>
          <w:rFonts w:ascii="Arial" w:hAnsi="Arial" w:cs="Arial"/>
          <w:sz w:val="22"/>
        </w:rPr>
      </w:pPr>
      <w:r w:rsidRPr="0036558A">
        <w:rPr>
          <w:rFonts w:ascii="Arial" w:hAnsi="Arial" w:cs="Arial"/>
          <w:sz w:val="22"/>
        </w:rPr>
        <w:t>Camions et véhicules industriels</w:t>
      </w:r>
      <w:r w:rsidRPr="0036558A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</w:t>
      </w:r>
      <w:r w:rsidRPr="0036558A">
        <w:rPr>
          <w:rFonts w:ascii="Arial" w:hAnsi="Arial" w:cs="Arial"/>
          <w:sz w:val="22"/>
        </w:rPr>
        <w:t>7 ans</w:t>
      </w:r>
    </w:p>
    <w:p w:rsidR="0036558A" w:rsidRPr="0036558A" w:rsidRDefault="0036558A" w:rsidP="0036558A">
      <w:pPr>
        <w:numPr>
          <w:ilvl w:val="0"/>
          <w:numId w:val="15"/>
        </w:numPr>
        <w:tabs>
          <w:tab w:val="left" w:pos="7088"/>
        </w:tabs>
        <w:spacing w:before="40"/>
        <w:ind w:left="2137" w:hanging="357"/>
        <w:jc w:val="both"/>
        <w:rPr>
          <w:rFonts w:ascii="Arial" w:hAnsi="Arial" w:cs="Arial"/>
          <w:sz w:val="22"/>
        </w:rPr>
      </w:pPr>
      <w:r w:rsidRPr="0036558A">
        <w:rPr>
          <w:rFonts w:ascii="Arial" w:hAnsi="Arial" w:cs="Arial"/>
          <w:sz w:val="22"/>
        </w:rPr>
        <w:t>Mobilier intérieur et mobilier urbain</w:t>
      </w:r>
      <w:r w:rsidRPr="0036558A">
        <w:rPr>
          <w:rFonts w:ascii="Arial" w:hAnsi="Arial" w:cs="Arial"/>
          <w:sz w:val="22"/>
        </w:rPr>
        <w:tab/>
        <w:t>10 ans</w:t>
      </w:r>
    </w:p>
    <w:p w:rsidR="0036558A" w:rsidRPr="0036558A" w:rsidRDefault="0036558A" w:rsidP="0036558A">
      <w:pPr>
        <w:numPr>
          <w:ilvl w:val="0"/>
          <w:numId w:val="15"/>
        </w:numPr>
        <w:tabs>
          <w:tab w:val="left" w:pos="7088"/>
        </w:tabs>
        <w:spacing w:before="40"/>
        <w:ind w:left="2137" w:hanging="357"/>
        <w:jc w:val="both"/>
        <w:rPr>
          <w:rFonts w:ascii="Arial" w:hAnsi="Arial" w:cs="Arial"/>
          <w:sz w:val="22"/>
        </w:rPr>
      </w:pPr>
      <w:r w:rsidRPr="0036558A">
        <w:rPr>
          <w:rFonts w:ascii="Arial" w:hAnsi="Arial" w:cs="Arial"/>
          <w:sz w:val="22"/>
        </w:rPr>
        <w:t>Matériel de bureau électrique ou électronique</w:t>
      </w:r>
      <w:r w:rsidRPr="0036558A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</w:t>
      </w:r>
      <w:r w:rsidRPr="0036558A">
        <w:rPr>
          <w:rFonts w:ascii="Arial" w:hAnsi="Arial" w:cs="Arial"/>
          <w:sz w:val="22"/>
        </w:rPr>
        <w:t>3 ans</w:t>
      </w:r>
    </w:p>
    <w:p w:rsidR="0036558A" w:rsidRPr="0036558A" w:rsidRDefault="0036558A" w:rsidP="0036558A">
      <w:pPr>
        <w:numPr>
          <w:ilvl w:val="0"/>
          <w:numId w:val="15"/>
        </w:numPr>
        <w:tabs>
          <w:tab w:val="left" w:pos="7088"/>
        </w:tabs>
        <w:spacing w:before="40"/>
        <w:ind w:left="2137" w:hanging="357"/>
        <w:jc w:val="both"/>
        <w:rPr>
          <w:rFonts w:ascii="Arial" w:hAnsi="Arial" w:cs="Arial"/>
          <w:sz w:val="22"/>
        </w:rPr>
      </w:pPr>
      <w:r w:rsidRPr="0036558A">
        <w:rPr>
          <w:rFonts w:ascii="Arial" w:hAnsi="Arial" w:cs="Arial"/>
          <w:sz w:val="22"/>
        </w:rPr>
        <w:t>Matériel informatique</w:t>
      </w:r>
    </w:p>
    <w:p w:rsidR="0036558A" w:rsidRPr="0036558A" w:rsidRDefault="0036558A" w:rsidP="0036558A">
      <w:pPr>
        <w:numPr>
          <w:ilvl w:val="1"/>
          <w:numId w:val="19"/>
        </w:numPr>
        <w:tabs>
          <w:tab w:val="left" w:pos="7088"/>
        </w:tabs>
        <w:ind w:left="2857" w:hanging="357"/>
        <w:jc w:val="both"/>
        <w:rPr>
          <w:rFonts w:ascii="Arial" w:hAnsi="Arial" w:cs="Arial"/>
          <w:sz w:val="22"/>
        </w:rPr>
      </w:pPr>
      <w:r w:rsidRPr="0036558A">
        <w:rPr>
          <w:rFonts w:ascii="Arial" w:hAnsi="Arial" w:cs="Arial"/>
          <w:sz w:val="22"/>
        </w:rPr>
        <w:t>Micro ordinateurs, serveurs, imprimantes</w:t>
      </w:r>
      <w:r w:rsidRPr="0036558A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</w:t>
      </w:r>
      <w:r w:rsidRPr="0036558A">
        <w:rPr>
          <w:rFonts w:ascii="Arial" w:hAnsi="Arial" w:cs="Arial"/>
          <w:sz w:val="22"/>
        </w:rPr>
        <w:t>3 ans</w:t>
      </w:r>
    </w:p>
    <w:p w:rsidR="0036558A" w:rsidRPr="0036558A" w:rsidRDefault="0036558A" w:rsidP="0036558A">
      <w:pPr>
        <w:numPr>
          <w:ilvl w:val="1"/>
          <w:numId w:val="19"/>
        </w:numPr>
        <w:tabs>
          <w:tab w:val="left" w:pos="7088"/>
        </w:tabs>
        <w:ind w:left="2857" w:hanging="357"/>
        <w:jc w:val="both"/>
        <w:rPr>
          <w:rFonts w:ascii="Arial" w:hAnsi="Arial" w:cs="Arial"/>
          <w:sz w:val="22"/>
        </w:rPr>
      </w:pPr>
      <w:r w:rsidRPr="0036558A">
        <w:rPr>
          <w:rFonts w:ascii="Arial" w:hAnsi="Arial" w:cs="Arial"/>
          <w:sz w:val="22"/>
        </w:rPr>
        <w:t>Onduleur</w:t>
      </w:r>
      <w:r w:rsidRPr="0036558A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</w:t>
      </w:r>
      <w:r w:rsidRPr="0036558A">
        <w:rPr>
          <w:rFonts w:ascii="Arial" w:hAnsi="Arial" w:cs="Arial"/>
          <w:sz w:val="22"/>
        </w:rPr>
        <w:t>6 ans</w:t>
      </w:r>
    </w:p>
    <w:p w:rsidR="0036558A" w:rsidRPr="0036558A" w:rsidRDefault="0036558A" w:rsidP="0036558A">
      <w:pPr>
        <w:numPr>
          <w:ilvl w:val="0"/>
          <w:numId w:val="15"/>
        </w:numPr>
        <w:tabs>
          <w:tab w:val="left" w:pos="7088"/>
        </w:tabs>
        <w:spacing w:before="40"/>
        <w:ind w:left="2137" w:hanging="357"/>
        <w:jc w:val="both"/>
        <w:rPr>
          <w:rFonts w:ascii="Arial" w:hAnsi="Arial" w:cs="Arial"/>
          <w:sz w:val="22"/>
        </w:rPr>
      </w:pPr>
      <w:r w:rsidRPr="0036558A">
        <w:rPr>
          <w:rFonts w:ascii="Arial" w:hAnsi="Arial" w:cs="Arial"/>
          <w:sz w:val="22"/>
        </w:rPr>
        <w:t>Installations et appareils de chauffage</w:t>
      </w:r>
      <w:r w:rsidRPr="0036558A">
        <w:rPr>
          <w:rFonts w:ascii="Arial" w:hAnsi="Arial" w:cs="Arial"/>
          <w:sz w:val="22"/>
        </w:rPr>
        <w:tab/>
        <w:t>10 ans</w:t>
      </w:r>
    </w:p>
    <w:p w:rsidR="0036558A" w:rsidRPr="0036558A" w:rsidRDefault="0036558A" w:rsidP="0036558A">
      <w:pPr>
        <w:numPr>
          <w:ilvl w:val="0"/>
          <w:numId w:val="15"/>
        </w:numPr>
        <w:tabs>
          <w:tab w:val="left" w:pos="7088"/>
        </w:tabs>
        <w:spacing w:before="40"/>
        <w:ind w:left="2137" w:hanging="357"/>
        <w:jc w:val="both"/>
        <w:rPr>
          <w:rFonts w:ascii="Arial" w:hAnsi="Arial" w:cs="Arial"/>
          <w:sz w:val="22"/>
        </w:rPr>
      </w:pPr>
      <w:r w:rsidRPr="0036558A">
        <w:rPr>
          <w:rFonts w:ascii="Arial" w:hAnsi="Arial" w:cs="Arial"/>
          <w:sz w:val="22"/>
        </w:rPr>
        <w:t>Equipement de garage et ateliers</w:t>
      </w:r>
      <w:r w:rsidRPr="0036558A">
        <w:rPr>
          <w:rFonts w:ascii="Arial" w:hAnsi="Arial" w:cs="Arial"/>
          <w:sz w:val="22"/>
        </w:rPr>
        <w:tab/>
        <w:t>10 ans</w:t>
      </w:r>
    </w:p>
    <w:p w:rsidR="0036558A" w:rsidRPr="0036558A" w:rsidRDefault="0036558A" w:rsidP="0036558A">
      <w:pPr>
        <w:numPr>
          <w:ilvl w:val="0"/>
          <w:numId w:val="15"/>
        </w:numPr>
        <w:tabs>
          <w:tab w:val="left" w:pos="7088"/>
        </w:tabs>
        <w:spacing w:before="40"/>
        <w:ind w:left="2137" w:hanging="357"/>
        <w:jc w:val="both"/>
        <w:rPr>
          <w:rFonts w:ascii="Arial" w:hAnsi="Arial" w:cs="Arial"/>
          <w:sz w:val="22"/>
        </w:rPr>
      </w:pPr>
      <w:r w:rsidRPr="0036558A">
        <w:rPr>
          <w:rFonts w:ascii="Arial" w:hAnsi="Arial" w:cs="Arial"/>
          <w:sz w:val="22"/>
        </w:rPr>
        <w:t>Equipements sportifs, jeux extérieurs</w:t>
      </w:r>
      <w:r w:rsidRPr="0036558A">
        <w:rPr>
          <w:rFonts w:ascii="Arial" w:hAnsi="Arial" w:cs="Arial"/>
          <w:sz w:val="22"/>
        </w:rPr>
        <w:tab/>
        <w:t>10 ans</w:t>
      </w:r>
    </w:p>
    <w:p w:rsidR="0036558A" w:rsidRPr="0036558A" w:rsidRDefault="0036558A" w:rsidP="0036558A">
      <w:pPr>
        <w:numPr>
          <w:ilvl w:val="0"/>
          <w:numId w:val="15"/>
        </w:numPr>
        <w:tabs>
          <w:tab w:val="left" w:pos="7088"/>
        </w:tabs>
        <w:spacing w:before="40"/>
        <w:ind w:left="2137" w:hanging="357"/>
        <w:jc w:val="both"/>
        <w:rPr>
          <w:rFonts w:ascii="Arial" w:hAnsi="Arial" w:cs="Arial"/>
          <w:sz w:val="22"/>
        </w:rPr>
      </w:pPr>
      <w:r w:rsidRPr="0036558A">
        <w:rPr>
          <w:rFonts w:ascii="Arial" w:hAnsi="Arial" w:cs="Arial"/>
          <w:sz w:val="22"/>
        </w:rPr>
        <w:t>Bâtiments légers, abris</w:t>
      </w:r>
      <w:r w:rsidRPr="0036558A">
        <w:rPr>
          <w:rFonts w:ascii="Arial" w:hAnsi="Arial" w:cs="Arial"/>
          <w:sz w:val="22"/>
        </w:rPr>
        <w:tab/>
        <w:t>10 ans</w:t>
      </w:r>
    </w:p>
    <w:p w:rsidR="0036558A" w:rsidRPr="0036558A" w:rsidRDefault="0036558A" w:rsidP="0036558A">
      <w:pPr>
        <w:numPr>
          <w:ilvl w:val="0"/>
          <w:numId w:val="15"/>
        </w:numPr>
        <w:tabs>
          <w:tab w:val="left" w:pos="7088"/>
        </w:tabs>
        <w:spacing w:before="40"/>
        <w:ind w:left="2137" w:hanging="357"/>
        <w:jc w:val="both"/>
        <w:rPr>
          <w:rFonts w:ascii="Arial" w:hAnsi="Arial" w:cs="Arial"/>
          <w:sz w:val="22"/>
        </w:rPr>
      </w:pPr>
      <w:r w:rsidRPr="0036558A">
        <w:rPr>
          <w:rFonts w:ascii="Arial" w:hAnsi="Arial" w:cs="Arial"/>
          <w:sz w:val="22"/>
        </w:rPr>
        <w:t xml:space="preserve">Bâtiments productifs de revenus (bâtiments </w:t>
      </w:r>
    </w:p>
    <w:p w:rsidR="0036558A" w:rsidRPr="0036558A" w:rsidRDefault="0036558A" w:rsidP="0036558A">
      <w:pPr>
        <w:tabs>
          <w:tab w:val="left" w:pos="7088"/>
        </w:tabs>
        <w:ind w:left="2137" w:hanging="11"/>
        <w:jc w:val="both"/>
        <w:rPr>
          <w:rFonts w:ascii="Arial" w:hAnsi="Arial" w:cs="Arial"/>
          <w:sz w:val="22"/>
        </w:rPr>
      </w:pPr>
      <w:r w:rsidRPr="0036558A">
        <w:rPr>
          <w:rFonts w:ascii="Arial" w:hAnsi="Arial" w:cs="Arial"/>
          <w:sz w:val="22"/>
        </w:rPr>
        <w:t>industriels</w:t>
      </w:r>
      <w:r>
        <w:rPr>
          <w:rFonts w:ascii="Arial" w:hAnsi="Arial" w:cs="Arial"/>
          <w:sz w:val="22"/>
        </w:rPr>
        <w:t>)</w:t>
      </w:r>
      <w:r w:rsidRPr="0036558A">
        <w:rPr>
          <w:rFonts w:ascii="Arial" w:hAnsi="Arial" w:cs="Arial"/>
          <w:sz w:val="22"/>
        </w:rPr>
        <w:tab/>
        <w:t>20 ans</w:t>
      </w:r>
    </w:p>
    <w:p w:rsidR="0036558A" w:rsidRPr="0036558A" w:rsidRDefault="0036558A" w:rsidP="0036558A">
      <w:pPr>
        <w:numPr>
          <w:ilvl w:val="0"/>
          <w:numId w:val="15"/>
        </w:numPr>
        <w:tabs>
          <w:tab w:val="left" w:pos="7088"/>
        </w:tabs>
        <w:spacing w:before="40"/>
        <w:ind w:left="2137" w:hanging="357"/>
        <w:jc w:val="both"/>
        <w:rPr>
          <w:rFonts w:ascii="Arial" w:hAnsi="Arial" w:cs="Arial"/>
          <w:sz w:val="22"/>
        </w:rPr>
      </w:pPr>
      <w:r w:rsidRPr="0036558A">
        <w:rPr>
          <w:rFonts w:ascii="Arial" w:hAnsi="Arial" w:cs="Arial"/>
          <w:sz w:val="22"/>
        </w:rPr>
        <w:t>Equipements de cuisine</w:t>
      </w:r>
      <w:r w:rsidRPr="0036558A">
        <w:rPr>
          <w:rFonts w:ascii="Arial" w:hAnsi="Arial" w:cs="Arial"/>
          <w:sz w:val="22"/>
        </w:rPr>
        <w:tab/>
        <w:t>10 ans</w:t>
      </w:r>
    </w:p>
    <w:p w:rsidR="0036558A" w:rsidRPr="0036558A" w:rsidRDefault="0036558A" w:rsidP="0036558A">
      <w:pPr>
        <w:numPr>
          <w:ilvl w:val="0"/>
          <w:numId w:val="15"/>
        </w:numPr>
        <w:tabs>
          <w:tab w:val="left" w:pos="7088"/>
        </w:tabs>
        <w:spacing w:before="40"/>
        <w:ind w:left="2137" w:hanging="357"/>
        <w:jc w:val="both"/>
        <w:rPr>
          <w:rFonts w:ascii="Arial" w:hAnsi="Arial" w:cs="Arial"/>
          <w:sz w:val="22"/>
        </w:rPr>
      </w:pPr>
      <w:r w:rsidRPr="0036558A">
        <w:rPr>
          <w:rFonts w:ascii="Arial" w:hAnsi="Arial" w:cs="Arial"/>
          <w:sz w:val="22"/>
        </w:rPr>
        <w:t>Agencement et aménagement de bâtiments</w:t>
      </w:r>
    </w:p>
    <w:p w:rsidR="0036558A" w:rsidRPr="0036558A" w:rsidRDefault="0036558A" w:rsidP="0036558A">
      <w:pPr>
        <w:tabs>
          <w:tab w:val="left" w:pos="7088"/>
        </w:tabs>
        <w:ind w:left="2137" w:hanging="11"/>
        <w:jc w:val="both"/>
        <w:rPr>
          <w:rFonts w:ascii="Arial" w:hAnsi="Arial" w:cs="Arial"/>
          <w:sz w:val="22"/>
        </w:rPr>
      </w:pPr>
      <w:r w:rsidRPr="0036558A">
        <w:rPr>
          <w:rFonts w:ascii="Arial" w:hAnsi="Arial" w:cs="Arial"/>
          <w:sz w:val="22"/>
        </w:rPr>
        <w:t>(installations électriques et téléphoniques…)</w:t>
      </w:r>
      <w:r w:rsidRPr="0036558A">
        <w:rPr>
          <w:rFonts w:ascii="Arial" w:hAnsi="Arial" w:cs="Arial"/>
          <w:sz w:val="22"/>
        </w:rPr>
        <w:tab/>
        <w:t>15 ans</w:t>
      </w:r>
    </w:p>
    <w:p w:rsidR="0036558A" w:rsidRPr="0036558A" w:rsidRDefault="0036558A" w:rsidP="0036558A">
      <w:pPr>
        <w:numPr>
          <w:ilvl w:val="0"/>
          <w:numId w:val="15"/>
        </w:numPr>
        <w:tabs>
          <w:tab w:val="left" w:pos="7088"/>
        </w:tabs>
        <w:spacing w:before="40"/>
        <w:ind w:left="2137" w:hanging="357"/>
        <w:jc w:val="both"/>
        <w:rPr>
          <w:rFonts w:ascii="Arial" w:hAnsi="Arial" w:cs="Arial"/>
          <w:sz w:val="22"/>
        </w:rPr>
      </w:pPr>
      <w:r w:rsidRPr="0036558A">
        <w:rPr>
          <w:rFonts w:ascii="Arial" w:hAnsi="Arial" w:cs="Arial"/>
          <w:sz w:val="22"/>
        </w:rPr>
        <w:t>Matériel scénique : sono, table de mixage</w:t>
      </w:r>
      <w:r w:rsidR="00395527" w:rsidRPr="0036558A">
        <w:rPr>
          <w:rFonts w:ascii="Arial" w:hAnsi="Arial" w:cs="Arial"/>
          <w:sz w:val="22"/>
        </w:rPr>
        <w:t>...</w:t>
      </w:r>
      <w:r w:rsidRPr="0036558A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</w:t>
      </w:r>
      <w:r w:rsidRPr="0036558A">
        <w:rPr>
          <w:rFonts w:ascii="Arial" w:hAnsi="Arial" w:cs="Arial"/>
          <w:sz w:val="22"/>
        </w:rPr>
        <w:t>7 ans</w:t>
      </w:r>
    </w:p>
    <w:p w:rsidR="0036558A" w:rsidRPr="0036558A" w:rsidRDefault="0036558A" w:rsidP="0036558A">
      <w:pPr>
        <w:numPr>
          <w:ilvl w:val="0"/>
          <w:numId w:val="15"/>
        </w:numPr>
        <w:tabs>
          <w:tab w:val="left" w:pos="7088"/>
        </w:tabs>
        <w:spacing w:before="40"/>
        <w:ind w:left="2137" w:hanging="357"/>
        <w:jc w:val="both"/>
        <w:rPr>
          <w:rFonts w:ascii="Arial" w:hAnsi="Arial" w:cs="Arial"/>
          <w:sz w:val="22"/>
        </w:rPr>
      </w:pPr>
      <w:r w:rsidRPr="0036558A">
        <w:rPr>
          <w:rFonts w:ascii="Arial" w:hAnsi="Arial" w:cs="Arial"/>
          <w:sz w:val="22"/>
        </w:rPr>
        <w:t>Matériel roulant : chariot élévateur, pelle…</w:t>
      </w:r>
      <w:r w:rsidRPr="0036558A">
        <w:rPr>
          <w:rFonts w:ascii="Arial" w:hAnsi="Arial" w:cs="Arial"/>
          <w:sz w:val="22"/>
        </w:rPr>
        <w:tab/>
        <w:t>10 ans</w:t>
      </w:r>
    </w:p>
    <w:p w:rsidR="0036558A" w:rsidRDefault="0036558A" w:rsidP="0036558A">
      <w:pPr>
        <w:ind w:left="2138"/>
        <w:jc w:val="both"/>
        <w:rPr>
          <w:rFonts w:ascii="Arial" w:hAnsi="Arial" w:cs="Arial"/>
          <w:sz w:val="22"/>
        </w:rPr>
      </w:pPr>
    </w:p>
    <w:p w:rsidR="000B6813" w:rsidRDefault="000B6813" w:rsidP="0036558A">
      <w:pPr>
        <w:ind w:left="2138"/>
        <w:jc w:val="both"/>
        <w:rPr>
          <w:rFonts w:ascii="Arial" w:hAnsi="Arial" w:cs="Arial"/>
          <w:sz w:val="22"/>
        </w:rPr>
      </w:pPr>
    </w:p>
    <w:p w:rsidR="000B6813" w:rsidRDefault="000B6813" w:rsidP="0036558A">
      <w:pPr>
        <w:ind w:left="2138"/>
        <w:jc w:val="both"/>
        <w:rPr>
          <w:rFonts w:ascii="Arial" w:hAnsi="Arial" w:cs="Arial"/>
          <w:sz w:val="22"/>
        </w:rPr>
      </w:pPr>
    </w:p>
    <w:p w:rsidR="000B6813" w:rsidRDefault="000B6813" w:rsidP="0036558A">
      <w:pPr>
        <w:ind w:left="2138"/>
        <w:jc w:val="both"/>
        <w:rPr>
          <w:rFonts w:ascii="Arial" w:hAnsi="Arial" w:cs="Arial"/>
          <w:sz w:val="22"/>
        </w:rPr>
      </w:pPr>
    </w:p>
    <w:p w:rsidR="000B6813" w:rsidRPr="0036558A" w:rsidRDefault="000B6813" w:rsidP="0036558A">
      <w:pPr>
        <w:ind w:left="2138"/>
        <w:jc w:val="both"/>
        <w:rPr>
          <w:rFonts w:ascii="Arial" w:hAnsi="Arial" w:cs="Arial"/>
          <w:sz w:val="22"/>
        </w:rPr>
      </w:pPr>
    </w:p>
    <w:p w:rsidR="0036558A" w:rsidRPr="0036558A" w:rsidRDefault="0036558A" w:rsidP="0036558A">
      <w:pPr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 w:rsidRPr="0036558A">
        <w:rPr>
          <w:rFonts w:ascii="Arial" w:hAnsi="Arial" w:cs="Arial"/>
          <w:sz w:val="22"/>
        </w:rPr>
        <w:t>Certaines durées d’amortissement sont définies par l’instruction M14 et ne peuvent être modifiées :</w:t>
      </w:r>
    </w:p>
    <w:p w:rsidR="0036558A" w:rsidRDefault="0036558A" w:rsidP="0036558A">
      <w:pPr>
        <w:numPr>
          <w:ilvl w:val="0"/>
          <w:numId w:val="18"/>
        </w:numPr>
        <w:spacing w:before="40"/>
        <w:ind w:left="2137" w:hanging="357"/>
        <w:jc w:val="both"/>
        <w:rPr>
          <w:rFonts w:ascii="Arial" w:hAnsi="Arial" w:cs="Arial"/>
          <w:sz w:val="22"/>
        </w:rPr>
      </w:pPr>
      <w:r w:rsidRPr="0036558A">
        <w:rPr>
          <w:rFonts w:ascii="Arial" w:hAnsi="Arial" w:cs="Arial"/>
          <w:sz w:val="22"/>
        </w:rPr>
        <w:t>Les frais d’études, élaboration, modification et révision des documents d’urbanisme sont obl</w:t>
      </w:r>
      <w:r>
        <w:rPr>
          <w:rFonts w:ascii="Arial" w:hAnsi="Arial" w:cs="Arial"/>
          <w:sz w:val="22"/>
        </w:rPr>
        <w:t>igatoirement amortis sur 10 ans ;</w:t>
      </w:r>
    </w:p>
    <w:p w:rsidR="0036558A" w:rsidRDefault="0036558A" w:rsidP="0036558A">
      <w:pPr>
        <w:numPr>
          <w:ilvl w:val="0"/>
          <w:numId w:val="18"/>
        </w:numPr>
        <w:spacing w:before="40"/>
        <w:ind w:left="2137" w:hanging="357"/>
        <w:jc w:val="both"/>
        <w:rPr>
          <w:rFonts w:ascii="Arial" w:hAnsi="Arial" w:cs="Arial"/>
          <w:sz w:val="22"/>
        </w:rPr>
      </w:pPr>
      <w:r w:rsidRPr="0036558A">
        <w:rPr>
          <w:rFonts w:ascii="Arial" w:hAnsi="Arial" w:cs="Arial"/>
          <w:sz w:val="22"/>
        </w:rPr>
        <w:t>Les frais d’études non suivies de réalisations, obligat</w:t>
      </w:r>
      <w:r>
        <w:rPr>
          <w:rFonts w:ascii="Arial" w:hAnsi="Arial" w:cs="Arial"/>
          <w:sz w:val="22"/>
        </w:rPr>
        <w:t>oirement amortis sur 5 ans ;</w:t>
      </w:r>
    </w:p>
    <w:p w:rsidR="0036558A" w:rsidRPr="0036558A" w:rsidRDefault="0036558A" w:rsidP="0036558A">
      <w:pPr>
        <w:numPr>
          <w:ilvl w:val="0"/>
          <w:numId w:val="18"/>
        </w:numPr>
        <w:spacing w:before="40"/>
        <w:ind w:left="2137" w:hanging="357"/>
        <w:jc w:val="both"/>
        <w:rPr>
          <w:rFonts w:ascii="Arial" w:hAnsi="Arial" w:cs="Arial"/>
          <w:sz w:val="22"/>
        </w:rPr>
      </w:pPr>
      <w:r w:rsidRPr="0036558A">
        <w:rPr>
          <w:rFonts w:ascii="Arial" w:hAnsi="Arial" w:cs="Arial"/>
          <w:sz w:val="22"/>
        </w:rPr>
        <w:t>Les frais de recherche et de développement sont amortis sur une durée maximum de 5 ans en cas de réussite du projet et immédiatement, po</w:t>
      </w:r>
      <w:r>
        <w:rPr>
          <w:rFonts w:ascii="Arial" w:hAnsi="Arial" w:cs="Arial"/>
          <w:sz w:val="22"/>
        </w:rPr>
        <w:t>ur leur totalité en cas d’échec ;</w:t>
      </w:r>
    </w:p>
    <w:p w:rsidR="0036558A" w:rsidRPr="0036558A" w:rsidRDefault="0036558A" w:rsidP="0036558A">
      <w:pPr>
        <w:numPr>
          <w:ilvl w:val="0"/>
          <w:numId w:val="18"/>
        </w:numPr>
        <w:spacing w:before="40"/>
        <w:ind w:left="2137" w:hanging="357"/>
        <w:jc w:val="both"/>
        <w:rPr>
          <w:rFonts w:ascii="Arial" w:hAnsi="Arial" w:cs="Arial"/>
          <w:sz w:val="22"/>
        </w:rPr>
      </w:pPr>
      <w:r w:rsidRPr="0036558A">
        <w:rPr>
          <w:rFonts w:ascii="Arial" w:hAnsi="Arial" w:cs="Arial"/>
          <w:sz w:val="22"/>
        </w:rPr>
        <w:t>Les brevets sont amortis sur la durée du privilège dont ils bénéficient ou sur la durée effective de leur utilisation si elle est plus brève.</w:t>
      </w:r>
    </w:p>
    <w:p w:rsidR="0036558A" w:rsidRPr="0036558A" w:rsidRDefault="0036558A" w:rsidP="0036558A">
      <w:pPr>
        <w:ind w:left="1778"/>
        <w:jc w:val="both"/>
        <w:rPr>
          <w:rFonts w:ascii="Arial" w:hAnsi="Arial" w:cs="Arial"/>
          <w:sz w:val="22"/>
        </w:rPr>
      </w:pPr>
    </w:p>
    <w:p w:rsidR="0036558A" w:rsidRPr="0036558A" w:rsidRDefault="0036558A" w:rsidP="0036558A">
      <w:pPr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 w:rsidRPr="0036558A">
        <w:rPr>
          <w:rFonts w:ascii="Arial" w:hAnsi="Arial" w:cs="Arial"/>
          <w:sz w:val="22"/>
        </w:rPr>
        <w:t>Les biens dont le coût unitaire est inférieur à 1 500</w:t>
      </w:r>
      <w:r>
        <w:rPr>
          <w:rFonts w:ascii="Arial" w:hAnsi="Arial" w:cs="Arial"/>
          <w:sz w:val="22"/>
        </w:rPr>
        <w:t xml:space="preserve"> </w:t>
      </w:r>
      <w:r w:rsidRPr="0036558A">
        <w:rPr>
          <w:rFonts w:ascii="Arial" w:hAnsi="Arial" w:cs="Arial"/>
          <w:sz w:val="22"/>
        </w:rPr>
        <w:t>€ seront amortis en 1 an.</w:t>
      </w:r>
    </w:p>
    <w:p w:rsidR="0036558A" w:rsidRDefault="0036558A" w:rsidP="0036558A">
      <w:pPr>
        <w:ind w:left="1418"/>
        <w:jc w:val="both"/>
        <w:rPr>
          <w:rFonts w:ascii="Arial" w:hAnsi="Arial" w:cs="Arial"/>
          <w:sz w:val="22"/>
        </w:rPr>
      </w:pPr>
    </w:p>
    <w:p w:rsidR="0036558A" w:rsidRPr="0036558A" w:rsidRDefault="0036558A" w:rsidP="0036558A">
      <w:pPr>
        <w:ind w:left="1418"/>
        <w:jc w:val="both"/>
        <w:rPr>
          <w:rFonts w:ascii="Arial" w:hAnsi="Arial" w:cs="Arial"/>
          <w:sz w:val="22"/>
        </w:rPr>
      </w:pPr>
      <w:r w:rsidRPr="0036558A">
        <w:rPr>
          <w:rFonts w:ascii="Arial" w:hAnsi="Arial" w:cs="Arial"/>
          <w:sz w:val="22"/>
        </w:rPr>
        <w:t>Pour mémoire</w:t>
      </w:r>
      <w:r>
        <w:rPr>
          <w:rFonts w:ascii="Arial" w:hAnsi="Arial" w:cs="Arial"/>
          <w:sz w:val="22"/>
        </w:rPr>
        <w:t>,</w:t>
      </w:r>
      <w:r w:rsidRPr="0036558A">
        <w:rPr>
          <w:rFonts w:ascii="Arial" w:hAnsi="Arial" w:cs="Arial"/>
          <w:sz w:val="22"/>
        </w:rPr>
        <w:t xml:space="preserve"> les durées d’amortissement des subventions d’équipement sont fixées par le d</w:t>
      </w:r>
      <w:r>
        <w:rPr>
          <w:rFonts w:ascii="Arial" w:hAnsi="Arial" w:cs="Arial"/>
          <w:sz w:val="22"/>
        </w:rPr>
        <w:t>é</w:t>
      </w:r>
      <w:r w:rsidRPr="0036558A">
        <w:rPr>
          <w:rFonts w:ascii="Arial" w:hAnsi="Arial" w:cs="Arial"/>
          <w:sz w:val="22"/>
        </w:rPr>
        <w:t xml:space="preserve">cret </w:t>
      </w:r>
      <w:r>
        <w:rPr>
          <w:rFonts w:ascii="Arial" w:hAnsi="Arial" w:cs="Arial"/>
          <w:sz w:val="22"/>
        </w:rPr>
        <w:t xml:space="preserve">n° </w:t>
      </w:r>
      <w:r w:rsidRPr="0036558A">
        <w:rPr>
          <w:rFonts w:ascii="Arial" w:hAnsi="Arial" w:cs="Arial"/>
          <w:sz w:val="22"/>
        </w:rPr>
        <w:t>2011-1951 du 23 décembre 2011 :</w:t>
      </w:r>
    </w:p>
    <w:p w:rsidR="0036558A" w:rsidRPr="0036558A" w:rsidRDefault="0036558A" w:rsidP="0036558A">
      <w:pPr>
        <w:numPr>
          <w:ilvl w:val="0"/>
          <w:numId w:val="16"/>
        </w:numPr>
        <w:spacing w:before="40"/>
        <w:ind w:left="1702" w:hanging="284"/>
        <w:jc w:val="both"/>
        <w:rPr>
          <w:rFonts w:ascii="Arial" w:hAnsi="Arial" w:cs="Arial"/>
          <w:sz w:val="22"/>
        </w:rPr>
      </w:pPr>
      <w:r w:rsidRPr="0036558A">
        <w:rPr>
          <w:rFonts w:ascii="Arial" w:hAnsi="Arial" w:cs="Arial"/>
          <w:sz w:val="22"/>
        </w:rPr>
        <w:t>Lorsque les subventions financent des biens immobiliers, du matériel ou des études</w:t>
      </w:r>
      <w:r w:rsidR="00845B89">
        <w:rPr>
          <w:rFonts w:ascii="Arial" w:hAnsi="Arial" w:cs="Arial"/>
          <w:sz w:val="22"/>
        </w:rPr>
        <w:t>,</w:t>
      </w:r>
      <w:r w:rsidRPr="0036558A">
        <w:rPr>
          <w:rFonts w:ascii="Arial" w:hAnsi="Arial" w:cs="Arial"/>
          <w:sz w:val="22"/>
        </w:rPr>
        <w:t xml:space="preserve"> elles sont amorties sur une durée de 5 ans</w:t>
      </w:r>
      <w:r w:rsidR="00845B89">
        <w:rPr>
          <w:rFonts w:ascii="Arial" w:hAnsi="Arial" w:cs="Arial"/>
          <w:sz w:val="22"/>
        </w:rPr>
        <w:t xml:space="preserve"> ;</w:t>
      </w:r>
    </w:p>
    <w:p w:rsidR="0036558A" w:rsidRPr="0036558A" w:rsidRDefault="0036558A" w:rsidP="0036558A">
      <w:pPr>
        <w:numPr>
          <w:ilvl w:val="0"/>
          <w:numId w:val="16"/>
        </w:numPr>
        <w:spacing w:before="40"/>
        <w:ind w:left="1702" w:hanging="284"/>
        <w:jc w:val="both"/>
        <w:rPr>
          <w:rFonts w:ascii="Arial" w:hAnsi="Arial" w:cs="Arial"/>
          <w:sz w:val="22"/>
        </w:rPr>
      </w:pPr>
      <w:r w:rsidRPr="0036558A">
        <w:rPr>
          <w:rFonts w:ascii="Arial" w:hAnsi="Arial" w:cs="Arial"/>
          <w:sz w:val="22"/>
        </w:rPr>
        <w:t>Lorsque les subventions financent des biens immobiliers ou des installations, elles sont a</w:t>
      </w:r>
      <w:r w:rsidR="00845B89">
        <w:rPr>
          <w:rFonts w:ascii="Arial" w:hAnsi="Arial" w:cs="Arial"/>
          <w:sz w:val="22"/>
        </w:rPr>
        <w:t>morties sur une durée de 15 ans ;</w:t>
      </w:r>
    </w:p>
    <w:p w:rsidR="0036558A" w:rsidRDefault="0036558A" w:rsidP="0036558A">
      <w:pPr>
        <w:numPr>
          <w:ilvl w:val="0"/>
          <w:numId w:val="16"/>
        </w:numPr>
        <w:spacing w:before="40"/>
        <w:ind w:left="1702" w:hanging="284"/>
        <w:jc w:val="both"/>
        <w:rPr>
          <w:rFonts w:ascii="Arial" w:hAnsi="Arial" w:cs="Arial"/>
          <w:sz w:val="22"/>
        </w:rPr>
      </w:pPr>
      <w:r w:rsidRPr="0036558A">
        <w:rPr>
          <w:rFonts w:ascii="Arial" w:hAnsi="Arial" w:cs="Arial"/>
          <w:sz w:val="22"/>
        </w:rPr>
        <w:t>Lorsque les subventions financent des projets d’infrastructure d’intérêt national</w:t>
      </w:r>
      <w:r w:rsidR="00845B89">
        <w:rPr>
          <w:rFonts w:ascii="Arial" w:hAnsi="Arial" w:cs="Arial"/>
          <w:sz w:val="22"/>
        </w:rPr>
        <w:t>,</w:t>
      </w:r>
      <w:r w:rsidRPr="0036558A">
        <w:rPr>
          <w:rFonts w:ascii="Arial" w:hAnsi="Arial" w:cs="Arial"/>
          <w:sz w:val="22"/>
        </w:rPr>
        <w:t xml:space="preserve"> elles sont amorties sur 30 ans.</w:t>
      </w:r>
      <w:r w:rsidR="000B6813">
        <w:rPr>
          <w:rFonts w:ascii="Arial" w:hAnsi="Arial" w:cs="Arial"/>
          <w:b/>
          <w:sz w:val="22"/>
        </w:rPr>
        <w:t>"</w:t>
      </w:r>
    </w:p>
    <w:p w:rsidR="0036558A" w:rsidRDefault="0036558A" w:rsidP="0036558A">
      <w:pPr>
        <w:ind w:left="1418"/>
        <w:jc w:val="both"/>
        <w:rPr>
          <w:rFonts w:ascii="Arial" w:hAnsi="Arial" w:cs="Arial"/>
          <w:sz w:val="22"/>
        </w:rPr>
      </w:pPr>
    </w:p>
    <w:p w:rsidR="000B6813" w:rsidRDefault="000B6813" w:rsidP="0036558A">
      <w:pPr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Vu le Code général des collectivités territoriales, notamment les articles L2321-2, L2321-3 et L2331-9 ;</w:t>
      </w:r>
    </w:p>
    <w:p w:rsidR="000B6813" w:rsidRDefault="000B6813" w:rsidP="0036558A">
      <w:pPr>
        <w:ind w:left="1418"/>
        <w:jc w:val="both"/>
        <w:rPr>
          <w:rFonts w:ascii="Arial" w:hAnsi="Arial" w:cs="Arial"/>
          <w:sz w:val="22"/>
        </w:rPr>
      </w:pPr>
    </w:p>
    <w:p w:rsidR="0036558A" w:rsidRDefault="000B6813" w:rsidP="000B6813">
      <w:pPr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Après en avoir délibéré, le conseil municipal donne </w:t>
      </w:r>
      <w:r w:rsidR="00C6667B">
        <w:rPr>
          <w:rFonts w:ascii="Arial" w:hAnsi="Arial" w:cs="Arial"/>
          <w:sz w:val="22"/>
        </w:rPr>
        <w:t xml:space="preserve">son accord </w:t>
      </w:r>
      <w:r>
        <w:rPr>
          <w:rFonts w:ascii="Arial" w:hAnsi="Arial" w:cs="Arial"/>
          <w:sz w:val="22"/>
        </w:rPr>
        <w:t xml:space="preserve">à l'unanimité </w:t>
      </w:r>
      <w:r w:rsidR="00C6667B">
        <w:rPr>
          <w:rFonts w:ascii="Arial" w:hAnsi="Arial" w:cs="Arial"/>
          <w:sz w:val="22"/>
        </w:rPr>
        <w:t>sur les durées d'amortissement des immobilisations précitées.</w:t>
      </w:r>
    </w:p>
    <w:p w:rsidR="00C6667B" w:rsidRDefault="00C6667B" w:rsidP="0036558A">
      <w:pPr>
        <w:ind w:left="1418"/>
        <w:jc w:val="both"/>
        <w:rPr>
          <w:rFonts w:ascii="Arial" w:hAnsi="Arial" w:cs="Arial"/>
          <w:sz w:val="22"/>
        </w:rPr>
      </w:pPr>
    </w:p>
    <w:p w:rsidR="0036558A" w:rsidRPr="0036558A" w:rsidRDefault="0036558A" w:rsidP="0036558A">
      <w:pPr>
        <w:ind w:left="1418"/>
        <w:jc w:val="both"/>
        <w:rPr>
          <w:rFonts w:ascii="Arial" w:hAnsi="Arial" w:cs="Arial"/>
          <w:sz w:val="22"/>
        </w:rPr>
      </w:pPr>
    </w:p>
    <w:sectPr w:rsidR="0036558A" w:rsidRPr="0036558A" w:rsidSect="001A3F81">
      <w:headerReference w:type="even" r:id="rId8"/>
      <w:headerReference w:type="default" r:id="rId9"/>
      <w:footerReference w:type="first" r:id="rId10"/>
      <w:pgSz w:w="11907" w:h="16840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901" w:rsidRDefault="001B4901">
      <w:r>
        <w:separator/>
      </w:r>
    </w:p>
  </w:endnote>
  <w:endnote w:type="continuationSeparator" w:id="0">
    <w:p w:rsidR="001B4901" w:rsidRDefault="001B4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FE" w:rsidRPr="00FB5392" w:rsidRDefault="0036558A" w:rsidP="0036558A">
    <w:pPr>
      <w:pStyle w:val="Pieddepage"/>
      <w:jc w:val="right"/>
    </w:pPr>
    <w:r>
      <w:t>…/…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901" w:rsidRDefault="001B4901">
      <w:r>
        <w:separator/>
      </w:r>
    </w:p>
  </w:footnote>
  <w:footnote w:type="continuationSeparator" w:id="0">
    <w:p w:rsidR="001B4901" w:rsidRDefault="001B4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FE" w:rsidRDefault="003135FE" w:rsidP="00731515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FE" w:rsidRDefault="003135FE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C4731C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410540A"/>
    <w:multiLevelType w:val="hybridMultilevel"/>
    <w:tmpl w:val="9828DC24"/>
    <w:lvl w:ilvl="0" w:tplc="5BFEB36E">
      <w:start w:val="1"/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9C365DF"/>
    <w:multiLevelType w:val="hybridMultilevel"/>
    <w:tmpl w:val="ABC08F1C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3545506D"/>
    <w:multiLevelType w:val="hybridMultilevel"/>
    <w:tmpl w:val="E6B2DAA6"/>
    <w:lvl w:ilvl="0" w:tplc="90B05510">
      <w:start w:val="3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8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4843A60"/>
    <w:multiLevelType w:val="hybridMultilevel"/>
    <w:tmpl w:val="9BBE3CB0"/>
    <w:lvl w:ilvl="0" w:tplc="BFF0EF66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44E37C28"/>
    <w:multiLevelType w:val="hybridMultilevel"/>
    <w:tmpl w:val="179409FA"/>
    <w:lvl w:ilvl="0" w:tplc="5BFEB36E">
      <w:start w:val="1"/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45144461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BBC7739"/>
    <w:multiLevelType w:val="hybridMultilevel"/>
    <w:tmpl w:val="A2AC44DC"/>
    <w:lvl w:ilvl="0" w:tplc="3F6438FE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6EC712AA"/>
    <w:multiLevelType w:val="hybridMultilevel"/>
    <w:tmpl w:val="58A65EC8"/>
    <w:lvl w:ilvl="0" w:tplc="5BFEB36E">
      <w:start w:val="1"/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75812CBD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7F0D7491"/>
    <w:multiLevelType w:val="hybridMultilevel"/>
    <w:tmpl w:val="6C3CB2D8"/>
    <w:lvl w:ilvl="0" w:tplc="5BFEB36E">
      <w:start w:val="1"/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13C2435E">
      <w:start w:val="1"/>
      <w:numFmt w:val="bullet"/>
      <w:lvlText w:val=""/>
      <w:lvlJc w:val="left"/>
      <w:pPr>
        <w:ind w:left="285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8"/>
  </w:num>
  <w:num w:numId="5">
    <w:abstractNumId w:val="0"/>
  </w:num>
  <w:num w:numId="6">
    <w:abstractNumId w:val="14"/>
  </w:num>
  <w:num w:numId="7">
    <w:abstractNumId w:val="12"/>
  </w:num>
  <w:num w:numId="8">
    <w:abstractNumId w:val="7"/>
  </w:num>
  <w:num w:numId="9">
    <w:abstractNumId w:val="1"/>
  </w:num>
  <w:num w:numId="10">
    <w:abstractNumId w:val="17"/>
  </w:num>
  <w:num w:numId="11">
    <w:abstractNumId w:val="11"/>
  </w:num>
  <w:num w:numId="12">
    <w:abstractNumId w:val="5"/>
  </w:num>
  <w:num w:numId="13">
    <w:abstractNumId w:val="9"/>
  </w:num>
  <w:num w:numId="14">
    <w:abstractNumId w:val="15"/>
  </w:num>
  <w:num w:numId="15">
    <w:abstractNumId w:val="10"/>
  </w:num>
  <w:num w:numId="16">
    <w:abstractNumId w:val="16"/>
  </w:num>
  <w:num w:numId="17">
    <w:abstractNumId w:val="6"/>
  </w:num>
  <w:num w:numId="18">
    <w:abstractNumId w:val="3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338"/>
    <w:rsid w:val="00042B7D"/>
    <w:rsid w:val="00053DE5"/>
    <w:rsid w:val="000644BE"/>
    <w:rsid w:val="00071EBD"/>
    <w:rsid w:val="000B6813"/>
    <w:rsid w:val="0010340D"/>
    <w:rsid w:val="00133F55"/>
    <w:rsid w:val="00141649"/>
    <w:rsid w:val="00154908"/>
    <w:rsid w:val="0016009E"/>
    <w:rsid w:val="0017310B"/>
    <w:rsid w:val="001759DE"/>
    <w:rsid w:val="001A3F81"/>
    <w:rsid w:val="001A79A3"/>
    <w:rsid w:val="001B4901"/>
    <w:rsid w:val="002101FE"/>
    <w:rsid w:val="0021480B"/>
    <w:rsid w:val="0022056B"/>
    <w:rsid w:val="00224FA6"/>
    <w:rsid w:val="00246537"/>
    <w:rsid w:val="0024727C"/>
    <w:rsid w:val="00251332"/>
    <w:rsid w:val="002707E8"/>
    <w:rsid w:val="00292EE5"/>
    <w:rsid w:val="002C3F5E"/>
    <w:rsid w:val="003135FE"/>
    <w:rsid w:val="003311AF"/>
    <w:rsid w:val="0036558A"/>
    <w:rsid w:val="00377829"/>
    <w:rsid w:val="00385EC5"/>
    <w:rsid w:val="00395527"/>
    <w:rsid w:val="003C0FD7"/>
    <w:rsid w:val="003C515D"/>
    <w:rsid w:val="003E19BC"/>
    <w:rsid w:val="004101B3"/>
    <w:rsid w:val="00434281"/>
    <w:rsid w:val="00446D46"/>
    <w:rsid w:val="00472338"/>
    <w:rsid w:val="00484DE2"/>
    <w:rsid w:val="004F0CAF"/>
    <w:rsid w:val="00513B82"/>
    <w:rsid w:val="00530B6B"/>
    <w:rsid w:val="00537DEF"/>
    <w:rsid w:val="00581E87"/>
    <w:rsid w:val="005841E3"/>
    <w:rsid w:val="00591AA7"/>
    <w:rsid w:val="00615A6A"/>
    <w:rsid w:val="00633CA5"/>
    <w:rsid w:val="00656E31"/>
    <w:rsid w:val="00677D92"/>
    <w:rsid w:val="006C26AD"/>
    <w:rsid w:val="006E490D"/>
    <w:rsid w:val="00706F84"/>
    <w:rsid w:val="0070755F"/>
    <w:rsid w:val="00721A74"/>
    <w:rsid w:val="00731515"/>
    <w:rsid w:val="00776442"/>
    <w:rsid w:val="007806E9"/>
    <w:rsid w:val="00796A9F"/>
    <w:rsid w:val="007C26F8"/>
    <w:rsid w:val="007D5511"/>
    <w:rsid w:val="007E477D"/>
    <w:rsid w:val="007E54BB"/>
    <w:rsid w:val="007F77AF"/>
    <w:rsid w:val="00805960"/>
    <w:rsid w:val="00812E82"/>
    <w:rsid w:val="008364B5"/>
    <w:rsid w:val="00845B89"/>
    <w:rsid w:val="0085604A"/>
    <w:rsid w:val="00896567"/>
    <w:rsid w:val="00907FC9"/>
    <w:rsid w:val="00920E5A"/>
    <w:rsid w:val="00925121"/>
    <w:rsid w:val="00941FC5"/>
    <w:rsid w:val="00956FD9"/>
    <w:rsid w:val="00961630"/>
    <w:rsid w:val="00964DB0"/>
    <w:rsid w:val="009A6565"/>
    <w:rsid w:val="009B4474"/>
    <w:rsid w:val="009E4CFD"/>
    <w:rsid w:val="009F358F"/>
    <w:rsid w:val="00A0473D"/>
    <w:rsid w:val="00A07CED"/>
    <w:rsid w:val="00A12005"/>
    <w:rsid w:val="00A36D28"/>
    <w:rsid w:val="00A37059"/>
    <w:rsid w:val="00A443E1"/>
    <w:rsid w:val="00A57199"/>
    <w:rsid w:val="00AB6664"/>
    <w:rsid w:val="00AD2EB7"/>
    <w:rsid w:val="00AD5A07"/>
    <w:rsid w:val="00AE5287"/>
    <w:rsid w:val="00B6232C"/>
    <w:rsid w:val="00BB46FD"/>
    <w:rsid w:val="00BC7E4B"/>
    <w:rsid w:val="00BD1B19"/>
    <w:rsid w:val="00BE015E"/>
    <w:rsid w:val="00C06F53"/>
    <w:rsid w:val="00C07570"/>
    <w:rsid w:val="00C10DF2"/>
    <w:rsid w:val="00C35B05"/>
    <w:rsid w:val="00C400A0"/>
    <w:rsid w:val="00C407AE"/>
    <w:rsid w:val="00C42CB8"/>
    <w:rsid w:val="00C6667B"/>
    <w:rsid w:val="00C759FF"/>
    <w:rsid w:val="00CA5B8E"/>
    <w:rsid w:val="00CB0D6B"/>
    <w:rsid w:val="00CC30B6"/>
    <w:rsid w:val="00CE4A05"/>
    <w:rsid w:val="00CF1974"/>
    <w:rsid w:val="00CF29F4"/>
    <w:rsid w:val="00CF2DC4"/>
    <w:rsid w:val="00D01F33"/>
    <w:rsid w:val="00D119C7"/>
    <w:rsid w:val="00D128C5"/>
    <w:rsid w:val="00D33B17"/>
    <w:rsid w:val="00D341AA"/>
    <w:rsid w:val="00D34E51"/>
    <w:rsid w:val="00D36DD5"/>
    <w:rsid w:val="00D37595"/>
    <w:rsid w:val="00D37C3D"/>
    <w:rsid w:val="00D44E2F"/>
    <w:rsid w:val="00D51EC1"/>
    <w:rsid w:val="00D56BB4"/>
    <w:rsid w:val="00D60CE0"/>
    <w:rsid w:val="00D63E0F"/>
    <w:rsid w:val="00D76EB7"/>
    <w:rsid w:val="00D96031"/>
    <w:rsid w:val="00DB0B58"/>
    <w:rsid w:val="00E05223"/>
    <w:rsid w:val="00E32215"/>
    <w:rsid w:val="00E33440"/>
    <w:rsid w:val="00E43E88"/>
    <w:rsid w:val="00E671CA"/>
    <w:rsid w:val="00EC2E58"/>
    <w:rsid w:val="00EC723F"/>
    <w:rsid w:val="00ED66F5"/>
    <w:rsid w:val="00ED6E67"/>
    <w:rsid w:val="00EF46BF"/>
    <w:rsid w:val="00F07CBB"/>
    <w:rsid w:val="00F31F5D"/>
    <w:rsid w:val="00F55B1D"/>
    <w:rsid w:val="00F74008"/>
    <w:rsid w:val="00FB5392"/>
    <w:rsid w:val="00FC6D4A"/>
    <w:rsid w:val="00FC6F84"/>
    <w:rsid w:val="00FD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B8E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CA5B8E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CA5B8E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CA5B8E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2"/>
    </w:pPr>
    <w:rPr>
      <w:rFonts w:ascii="Arial Black" w:hAnsi="Arial Black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CA5B8E"/>
    <w:rPr>
      <w:sz w:val="16"/>
      <w:szCs w:val="16"/>
    </w:rPr>
  </w:style>
  <w:style w:type="paragraph" w:styleId="Commentaire">
    <w:name w:val="annotation text"/>
    <w:basedOn w:val="Normal"/>
    <w:semiHidden/>
    <w:rsid w:val="00CA5B8E"/>
  </w:style>
  <w:style w:type="paragraph" w:styleId="En-tte">
    <w:name w:val="header"/>
    <w:basedOn w:val="Normal"/>
    <w:rsid w:val="00CA5B8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A5B8E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CA5B8E"/>
    <w:pPr>
      <w:ind w:firstLine="1276"/>
      <w:jc w:val="both"/>
    </w:pPr>
  </w:style>
  <w:style w:type="paragraph" w:styleId="Retraitcorpsdetexte">
    <w:name w:val="Body Text Indent"/>
    <w:basedOn w:val="Normal"/>
    <w:rsid w:val="00CA5B8E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CA5B8E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rsid w:val="00CA5B8E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Textedebulles">
    <w:name w:val="Balloon Text"/>
    <w:basedOn w:val="Normal"/>
    <w:semiHidden/>
    <w:rsid w:val="00472338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537DEF"/>
    <w:pPr>
      <w:spacing w:after="120"/>
    </w:pPr>
  </w:style>
  <w:style w:type="paragraph" w:customStyle="1" w:styleId="NormalWeb2">
    <w:name w:val="Normal (Web)2"/>
    <w:basedOn w:val="Normal"/>
    <w:rsid w:val="00C35B05"/>
    <w:pPr>
      <w:spacing w:before="240" w:after="240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qFormat/>
    <w:rsid w:val="00DB0B58"/>
    <w:rPr>
      <w:b/>
      <w:bCs/>
    </w:rPr>
  </w:style>
  <w:style w:type="paragraph" w:styleId="Paragraphedeliste">
    <w:name w:val="List Paragraph"/>
    <w:basedOn w:val="Normal"/>
    <w:uiPriority w:val="34"/>
    <w:qFormat/>
    <w:rsid w:val="00796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4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3" w:color="auto"/>
                            <w:bottom w:val="none" w:sz="0" w:space="3" w:color="auto"/>
                            <w:right w:val="none" w:sz="0" w:space="3" w:color="auto"/>
                          </w:divBdr>
                          <w:divsChild>
                            <w:div w:id="192317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72968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3" w:color="auto"/>
                                    <w:left w:val="none" w:sz="0" w:space="3" w:color="auto"/>
                                    <w:bottom w:val="single" w:sz="4" w:space="24" w:color="CCCCCC"/>
                                    <w:right w:val="none" w:sz="0" w:space="3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533EB-6B68-4620-8685-5D9BBBA9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518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13</cp:revision>
  <cp:lastPrinted>2014-05-27T09:00:00Z</cp:lastPrinted>
  <dcterms:created xsi:type="dcterms:W3CDTF">2014-06-23T08:58:00Z</dcterms:created>
  <dcterms:modified xsi:type="dcterms:W3CDTF">2014-07-07T11:53:00Z</dcterms:modified>
</cp:coreProperties>
</file>