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80" w:rsidRPr="006700E2" w:rsidRDefault="00381980" w:rsidP="00381980">
      <w:pPr>
        <w:pStyle w:val="Titre1"/>
        <w:ind w:left="567"/>
        <w:rPr>
          <w:rFonts w:ascii="Arial Black" w:hAnsi="Arial Black"/>
        </w:rPr>
      </w:pPr>
      <w:r w:rsidRPr="006700E2">
        <w:rPr>
          <w:rFonts w:ascii="Arial Black" w:hAnsi="Arial Black"/>
        </w:rPr>
        <w:t>Ville de Riorges</w:t>
      </w:r>
    </w:p>
    <w:p w:rsidR="00381980" w:rsidRDefault="00CC7B00" w:rsidP="006E45EF">
      <w:pPr>
        <w:pStyle w:val="Titre1"/>
        <w:tabs>
          <w:tab w:val="right" w:pos="9639"/>
        </w:tabs>
        <w:ind w:left="567"/>
        <w:rPr>
          <w:rFonts w:ascii="Arial" w:hAnsi="Arial"/>
        </w:rPr>
      </w:pPr>
      <w:r>
        <w:rPr>
          <w:rFonts w:ascii="Arial" w:hAnsi="Arial"/>
        </w:rPr>
        <w:t>Délibération du c</w:t>
      </w:r>
      <w:r w:rsidR="00381980">
        <w:rPr>
          <w:rFonts w:ascii="Arial" w:hAnsi="Arial"/>
        </w:rPr>
        <w:t xml:space="preserve">onseil municipal du </w:t>
      </w:r>
      <w:r w:rsidR="008613EF">
        <w:rPr>
          <w:rFonts w:ascii="Arial" w:hAnsi="Arial"/>
        </w:rPr>
        <w:t>22</w:t>
      </w:r>
      <w:r w:rsidR="00381980">
        <w:rPr>
          <w:rFonts w:ascii="Arial" w:hAnsi="Arial"/>
        </w:rPr>
        <w:t xml:space="preserve"> mai 201</w:t>
      </w:r>
      <w:r w:rsidR="008613EF">
        <w:rPr>
          <w:rFonts w:ascii="Arial" w:hAnsi="Arial"/>
        </w:rPr>
        <w:t>4</w:t>
      </w:r>
      <w:r w:rsidR="00381980">
        <w:rPr>
          <w:rFonts w:ascii="Arial" w:hAnsi="Arial"/>
        </w:rPr>
        <w:tab/>
      </w:r>
      <w:r w:rsidR="00090E8A">
        <w:rPr>
          <w:rFonts w:ascii="Arial" w:hAnsi="Arial"/>
        </w:rPr>
        <w:t>2.3</w:t>
      </w:r>
    </w:p>
    <w:p w:rsidR="007E21E4" w:rsidRDefault="007E21E4">
      <w:pPr>
        <w:tabs>
          <w:tab w:val="left" w:pos="1276"/>
          <w:tab w:val="left" w:pos="3261"/>
          <w:tab w:val="left" w:pos="7230"/>
        </w:tabs>
        <w:ind w:left="2268"/>
        <w:jc w:val="center"/>
        <w:rPr>
          <w:rFonts w:ascii="Arial" w:hAnsi="Arial"/>
          <w:b/>
          <w:sz w:val="22"/>
        </w:rPr>
      </w:pPr>
    </w:p>
    <w:p w:rsidR="007E21E4" w:rsidRDefault="007E21E4">
      <w:pPr>
        <w:tabs>
          <w:tab w:val="left" w:pos="1276"/>
          <w:tab w:val="left" w:pos="3261"/>
          <w:tab w:val="left" w:pos="7230"/>
        </w:tabs>
        <w:ind w:left="2268"/>
        <w:jc w:val="center"/>
        <w:rPr>
          <w:rFonts w:ascii="Arial" w:hAnsi="Arial"/>
          <w:b/>
          <w:sz w:val="22"/>
        </w:rPr>
      </w:pPr>
    </w:p>
    <w:p w:rsidR="007E21E4" w:rsidRDefault="007E21E4">
      <w:pPr>
        <w:pStyle w:val="Titre3"/>
      </w:pPr>
      <w:r>
        <w:t>FINANCES</w:t>
      </w:r>
    </w:p>
    <w:p w:rsidR="007E21E4" w:rsidRDefault="007E21E4">
      <w:pPr>
        <w:tabs>
          <w:tab w:val="left" w:pos="1276"/>
          <w:tab w:val="left" w:pos="3261"/>
        </w:tabs>
        <w:ind w:left="2269"/>
        <w:jc w:val="right"/>
        <w:rPr>
          <w:rFonts w:ascii="Arial" w:hAnsi="Arial"/>
          <w:b/>
          <w:sz w:val="22"/>
        </w:rPr>
      </w:pPr>
    </w:p>
    <w:p w:rsidR="007E21E4" w:rsidRDefault="007E21E4" w:rsidP="00381980">
      <w:pPr>
        <w:pStyle w:val="Retraitcorpsdetexte3"/>
        <w:jc w:val="right"/>
        <w:rPr>
          <w:rFonts w:ascii="Arial" w:hAnsi="Arial"/>
        </w:rPr>
      </w:pPr>
      <w:r>
        <w:rPr>
          <w:rFonts w:ascii="Arial" w:hAnsi="Arial"/>
        </w:rPr>
        <w:t>GESTION BUDGETAIRE DE 20</w:t>
      </w:r>
      <w:r w:rsidR="00381980">
        <w:rPr>
          <w:rFonts w:ascii="Arial" w:hAnsi="Arial"/>
        </w:rPr>
        <w:t>1</w:t>
      </w:r>
      <w:r w:rsidR="008613EF">
        <w:rPr>
          <w:rFonts w:ascii="Arial" w:hAnsi="Arial"/>
        </w:rPr>
        <w:t>3</w:t>
      </w:r>
    </w:p>
    <w:p w:rsidR="007E21E4" w:rsidRDefault="007E21E4">
      <w:pPr>
        <w:pStyle w:val="Retraitcorpsdetexte3"/>
        <w:jc w:val="right"/>
        <w:rPr>
          <w:rFonts w:ascii="Arial" w:hAnsi="Arial"/>
        </w:rPr>
      </w:pPr>
      <w:r>
        <w:rPr>
          <w:rFonts w:ascii="Arial" w:hAnsi="Arial"/>
        </w:rPr>
        <w:t>COMPTE ADMINISTRATIF GENERAL DE LA COMMUNE</w:t>
      </w:r>
    </w:p>
    <w:p w:rsidR="007E21E4" w:rsidRDefault="007E21E4">
      <w:pPr>
        <w:pStyle w:val="Retraitcorpsdetexte3"/>
        <w:jc w:val="right"/>
        <w:rPr>
          <w:rFonts w:ascii="Arial" w:hAnsi="Arial"/>
        </w:rPr>
      </w:pPr>
      <w:r>
        <w:rPr>
          <w:rFonts w:ascii="Arial" w:hAnsi="Arial"/>
        </w:rPr>
        <w:t>AFFECTATION DU RESULTAT D'EXPLOITATION DE L'EXERCICE</w:t>
      </w:r>
    </w:p>
    <w:p w:rsidR="007E21E4" w:rsidRDefault="007E21E4">
      <w:pPr>
        <w:ind w:left="1418"/>
        <w:rPr>
          <w:rFonts w:ascii="Arial" w:hAnsi="Arial"/>
          <w:sz w:val="22"/>
        </w:rPr>
      </w:pPr>
    </w:p>
    <w:p w:rsidR="007E21E4" w:rsidRDefault="007E21E4">
      <w:pPr>
        <w:ind w:left="1418"/>
        <w:rPr>
          <w:rFonts w:ascii="Arial" w:hAnsi="Arial"/>
          <w:sz w:val="22"/>
        </w:rPr>
      </w:pPr>
    </w:p>
    <w:p w:rsidR="000476B7" w:rsidRDefault="000476B7">
      <w:pPr>
        <w:ind w:left="1418"/>
        <w:rPr>
          <w:rFonts w:ascii="Arial" w:hAnsi="Arial"/>
          <w:sz w:val="22"/>
        </w:rPr>
      </w:pPr>
    </w:p>
    <w:p w:rsidR="00CC7B00" w:rsidRDefault="00CC7B00"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161CE8" w:rsidRDefault="00161CE8">
      <w:pPr>
        <w:ind w:left="1418"/>
        <w:rPr>
          <w:rFonts w:ascii="Arial" w:hAnsi="Arial"/>
          <w:sz w:val="22"/>
        </w:rPr>
      </w:pPr>
    </w:p>
    <w:p w:rsidR="007E21E4" w:rsidRPr="00CC7B00" w:rsidRDefault="00CC7B00">
      <w:pPr>
        <w:ind w:left="1418" w:hanging="1"/>
        <w:jc w:val="both"/>
        <w:rPr>
          <w:rFonts w:ascii="Arial" w:hAnsi="Arial"/>
          <w:b/>
          <w:bCs/>
          <w:sz w:val="22"/>
        </w:rPr>
      </w:pPr>
      <w:r>
        <w:rPr>
          <w:rFonts w:ascii="Arial" w:hAnsi="Arial"/>
          <w:b/>
          <w:sz w:val="22"/>
        </w:rPr>
        <w:t>"</w:t>
      </w:r>
      <w:r w:rsidR="007E21E4">
        <w:rPr>
          <w:rFonts w:ascii="Arial" w:hAnsi="Arial"/>
          <w:sz w:val="22"/>
        </w:rPr>
        <w:t>Selon l'article L 1612-12 du code général des collectivités territoriales, l'arrêté des comptes communaux est constitué par le vote de l'organe délibérant sur le compte administratif présenté par le maire. La comptabilité M14 prévoit l'affectation du résultat par le conseil municipal. Celle-ci porte sur le seul résultat de la section de Fonctionnement. Le solde d'exécution de la section d'Investissement, qu'il soit positif ou négatif, fait l'objet d'un report pur et simple. L'affectation de l'excédent de fonctionnement concerne l'excédent de l'exercice complété des excédents reportés ou diminué des déficits antérieurs. C'est donc l'excédent net cumulé de la section de Fonctionnement qui donne lieu à affectation.</w:t>
      </w:r>
      <w:r>
        <w:rPr>
          <w:rFonts w:ascii="Arial" w:hAnsi="Arial"/>
          <w:b/>
          <w:sz w:val="22"/>
        </w:rPr>
        <w:t>"</w:t>
      </w:r>
    </w:p>
    <w:p w:rsidR="007E21E4" w:rsidRDefault="007E21E4">
      <w:pPr>
        <w:ind w:left="1418" w:hanging="1"/>
        <w:jc w:val="both"/>
        <w:rPr>
          <w:rFonts w:ascii="Arial" w:hAnsi="Arial"/>
          <w:sz w:val="22"/>
        </w:rPr>
      </w:pPr>
    </w:p>
    <w:p w:rsidR="007E21E4" w:rsidRDefault="007E21E4" w:rsidP="00FB46E3">
      <w:pPr>
        <w:spacing w:after="80"/>
        <w:ind w:left="1418"/>
        <w:jc w:val="both"/>
        <w:rPr>
          <w:rFonts w:ascii="Arial" w:hAnsi="Arial"/>
          <w:sz w:val="22"/>
        </w:rPr>
      </w:pPr>
      <w:r>
        <w:rPr>
          <w:rFonts w:ascii="Arial" w:hAnsi="Arial"/>
          <w:sz w:val="22"/>
        </w:rPr>
        <w:t>Il est proposé au conseil municipal :</w:t>
      </w:r>
    </w:p>
    <w:p w:rsidR="007E21E4" w:rsidRDefault="007E21E4" w:rsidP="00FB46E3">
      <w:pPr>
        <w:numPr>
          <w:ilvl w:val="0"/>
          <w:numId w:val="10"/>
        </w:numPr>
        <w:spacing w:after="80"/>
        <w:ind w:left="1418" w:firstLine="0"/>
        <w:jc w:val="both"/>
        <w:rPr>
          <w:rFonts w:ascii="Arial" w:hAnsi="Arial"/>
          <w:sz w:val="22"/>
        </w:rPr>
      </w:pPr>
      <w:r>
        <w:rPr>
          <w:rFonts w:ascii="Arial" w:hAnsi="Arial"/>
          <w:sz w:val="22"/>
        </w:rPr>
        <w:t>après avoir pris connaissance du compte administratif de l'exercice 20</w:t>
      </w:r>
      <w:r w:rsidR="00381980">
        <w:rPr>
          <w:rFonts w:ascii="Arial" w:hAnsi="Arial"/>
          <w:sz w:val="22"/>
        </w:rPr>
        <w:t>1</w:t>
      </w:r>
      <w:r w:rsidR="008613EF">
        <w:rPr>
          <w:rFonts w:ascii="Arial" w:hAnsi="Arial"/>
          <w:sz w:val="22"/>
        </w:rPr>
        <w:t>3</w:t>
      </w:r>
      <w:r>
        <w:rPr>
          <w:rFonts w:ascii="Arial" w:hAnsi="Arial"/>
          <w:sz w:val="22"/>
        </w:rPr>
        <w:t>,</w:t>
      </w:r>
    </w:p>
    <w:p w:rsidR="007E21E4" w:rsidRDefault="007E21E4" w:rsidP="00FB46E3">
      <w:pPr>
        <w:numPr>
          <w:ilvl w:val="0"/>
          <w:numId w:val="10"/>
        </w:numPr>
        <w:spacing w:after="80"/>
        <w:ind w:left="1418" w:firstLine="0"/>
        <w:jc w:val="both"/>
        <w:rPr>
          <w:rFonts w:ascii="Arial" w:hAnsi="Arial"/>
          <w:sz w:val="22"/>
        </w:rPr>
      </w:pPr>
      <w:r>
        <w:rPr>
          <w:rFonts w:ascii="Arial" w:hAnsi="Arial"/>
          <w:sz w:val="22"/>
        </w:rPr>
        <w:t xml:space="preserve">statuant sur l'affectation du résultat de fonctionnement de cet exercice, </w:t>
      </w:r>
    </w:p>
    <w:p w:rsidR="007E21E4" w:rsidRDefault="007E21E4">
      <w:pPr>
        <w:numPr>
          <w:ilvl w:val="0"/>
          <w:numId w:val="10"/>
        </w:numPr>
        <w:ind w:left="1418" w:hanging="1"/>
        <w:jc w:val="both"/>
        <w:rPr>
          <w:rFonts w:ascii="Arial" w:hAnsi="Arial"/>
          <w:sz w:val="22"/>
        </w:rPr>
      </w:pPr>
      <w:r>
        <w:rPr>
          <w:rFonts w:ascii="Arial" w:hAnsi="Arial"/>
          <w:sz w:val="22"/>
        </w:rPr>
        <w:t>constatant que le compte administratif présente :</w:t>
      </w:r>
    </w:p>
    <w:p w:rsidR="007E21E4" w:rsidRDefault="007E21E4" w:rsidP="00D170B9">
      <w:pPr>
        <w:numPr>
          <w:ilvl w:val="12"/>
          <w:numId w:val="0"/>
        </w:numPr>
        <w:ind w:left="1701" w:hanging="1"/>
        <w:jc w:val="both"/>
        <w:rPr>
          <w:rFonts w:ascii="Arial" w:hAnsi="Arial"/>
          <w:sz w:val="22"/>
        </w:rPr>
      </w:pPr>
      <w:r>
        <w:rPr>
          <w:rFonts w:ascii="Arial" w:hAnsi="Arial"/>
          <w:sz w:val="22"/>
        </w:rPr>
        <w:t xml:space="preserve">- un excédent de fonctionnement de </w:t>
      </w:r>
      <w:r w:rsidR="008613EF">
        <w:rPr>
          <w:rFonts w:ascii="Arial" w:hAnsi="Arial"/>
          <w:b/>
          <w:sz w:val="22"/>
        </w:rPr>
        <w:t>4 089 562,99</w:t>
      </w:r>
      <w:r>
        <w:rPr>
          <w:rFonts w:ascii="Arial" w:hAnsi="Arial"/>
          <w:b/>
          <w:sz w:val="22"/>
        </w:rPr>
        <w:t xml:space="preserve"> €</w:t>
      </w:r>
      <w:r w:rsidR="00502932">
        <w:rPr>
          <w:rFonts w:ascii="Arial" w:hAnsi="Arial"/>
          <w:b/>
          <w:sz w:val="22"/>
        </w:rPr>
        <w:t>.</w:t>
      </w:r>
    </w:p>
    <w:p w:rsidR="007E21E4" w:rsidRDefault="007E21E4">
      <w:pPr>
        <w:ind w:left="1418" w:hanging="1"/>
        <w:jc w:val="both"/>
        <w:rPr>
          <w:rFonts w:ascii="Arial" w:hAnsi="Arial"/>
          <w:sz w:val="22"/>
        </w:rPr>
      </w:pPr>
    </w:p>
    <w:p w:rsidR="007E21E4" w:rsidRDefault="007E21E4">
      <w:pPr>
        <w:ind w:left="1418" w:hanging="1"/>
        <w:jc w:val="both"/>
        <w:rPr>
          <w:rFonts w:ascii="Arial" w:hAnsi="Arial"/>
          <w:sz w:val="22"/>
        </w:rPr>
      </w:pPr>
      <w:proofErr w:type="gramStart"/>
      <w:r>
        <w:rPr>
          <w:rFonts w:ascii="Arial" w:hAnsi="Arial"/>
          <w:sz w:val="22"/>
        </w:rPr>
        <w:t>de</w:t>
      </w:r>
      <w:proofErr w:type="gramEnd"/>
      <w:r>
        <w:rPr>
          <w:rFonts w:ascii="Arial" w:hAnsi="Arial"/>
          <w:sz w:val="22"/>
        </w:rPr>
        <w:t xml:space="preserve"> décider d'affecter le résultat comme suit :</w:t>
      </w:r>
    </w:p>
    <w:p w:rsidR="007E21E4" w:rsidRPr="00B779AF" w:rsidRDefault="007E21E4">
      <w:pPr>
        <w:ind w:left="1418" w:hanging="1"/>
        <w:jc w:val="both"/>
        <w:rPr>
          <w:rFonts w:ascii="Arial" w:hAnsi="Arial"/>
          <w:sz w:val="16"/>
          <w:szCs w:val="16"/>
        </w:rPr>
      </w:pPr>
    </w:p>
    <w:tbl>
      <w:tblPr>
        <w:tblW w:w="0" w:type="auto"/>
        <w:tblInd w:w="1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6237"/>
        <w:gridCol w:w="1843"/>
      </w:tblGrid>
      <w:tr w:rsidR="007E21E4">
        <w:tc>
          <w:tcPr>
            <w:tcW w:w="6237" w:type="dxa"/>
          </w:tcPr>
          <w:p w:rsidR="007E21E4" w:rsidRDefault="007E21E4">
            <w:pPr>
              <w:rPr>
                <w:rFonts w:ascii="Arial" w:hAnsi="Arial"/>
                <w:b/>
                <w:sz w:val="22"/>
              </w:rPr>
            </w:pPr>
            <w:r>
              <w:rPr>
                <w:rFonts w:ascii="Arial" w:hAnsi="Arial"/>
                <w:sz w:val="22"/>
              </w:rPr>
              <w:t xml:space="preserve">Excédent antérieur reporté (report à nouveau créditeur) - </w:t>
            </w:r>
            <w:r>
              <w:rPr>
                <w:rFonts w:ascii="Arial" w:hAnsi="Arial"/>
                <w:b/>
                <w:sz w:val="22"/>
              </w:rPr>
              <w:t>pour mémoire</w:t>
            </w:r>
          </w:p>
          <w:p w:rsidR="007E21E4" w:rsidRDefault="007E21E4">
            <w:pPr>
              <w:rPr>
                <w:rFonts w:ascii="Arial" w:hAnsi="Arial"/>
                <w:b/>
                <w:sz w:val="22"/>
              </w:rPr>
            </w:pPr>
            <w:r>
              <w:rPr>
                <w:rFonts w:ascii="Arial" w:hAnsi="Arial"/>
                <w:sz w:val="22"/>
              </w:rPr>
              <w:t>Virement à la section d'investissement</w:t>
            </w:r>
            <w:r>
              <w:rPr>
                <w:rFonts w:ascii="Arial" w:hAnsi="Arial"/>
                <w:b/>
                <w:sz w:val="22"/>
              </w:rPr>
              <w:t xml:space="preserve"> - pour mémoire</w:t>
            </w:r>
          </w:p>
          <w:p w:rsidR="007E21E4" w:rsidRDefault="007E21E4">
            <w:pPr>
              <w:rPr>
                <w:rFonts w:ascii="Arial" w:hAnsi="Arial"/>
                <w:sz w:val="22"/>
              </w:rPr>
            </w:pPr>
          </w:p>
        </w:tc>
        <w:tc>
          <w:tcPr>
            <w:tcW w:w="1843" w:type="dxa"/>
          </w:tcPr>
          <w:p w:rsidR="007E21E4" w:rsidRDefault="007E21E4">
            <w:pPr>
              <w:ind w:right="140"/>
              <w:jc w:val="right"/>
              <w:rPr>
                <w:rFonts w:ascii="Arial" w:hAnsi="Arial"/>
                <w:sz w:val="22"/>
              </w:rPr>
            </w:pPr>
          </w:p>
          <w:p w:rsidR="007E21E4" w:rsidRDefault="008613EF" w:rsidP="00423168">
            <w:pPr>
              <w:ind w:right="140"/>
              <w:jc w:val="right"/>
              <w:rPr>
                <w:rFonts w:ascii="Arial" w:hAnsi="Arial"/>
                <w:sz w:val="22"/>
              </w:rPr>
            </w:pPr>
            <w:r>
              <w:rPr>
                <w:rFonts w:ascii="Arial" w:hAnsi="Arial"/>
                <w:sz w:val="22"/>
              </w:rPr>
              <w:t>1 503 306,96</w:t>
            </w:r>
            <w:r w:rsidR="008B4784">
              <w:rPr>
                <w:rFonts w:ascii="Arial" w:hAnsi="Arial"/>
                <w:sz w:val="22"/>
              </w:rPr>
              <w:t xml:space="preserve"> €</w:t>
            </w:r>
          </w:p>
          <w:p w:rsidR="00820D00" w:rsidRDefault="008613EF" w:rsidP="00423168">
            <w:pPr>
              <w:ind w:right="140"/>
              <w:jc w:val="right"/>
              <w:rPr>
                <w:rFonts w:ascii="Arial" w:hAnsi="Arial"/>
                <w:sz w:val="22"/>
              </w:rPr>
            </w:pPr>
            <w:r>
              <w:rPr>
                <w:rFonts w:ascii="Arial" w:hAnsi="Arial"/>
                <w:sz w:val="22"/>
              </w:rPr>
              <w:t>3 760 489,36</w:t>
            </w:r>
            <w:r w:rsidR="008B4784">
              <w:rPr>
                <w:rFonts w:ascii="Arial" w:hAnsi="Arial"/>
                <w:sz w:val="22"/>
              </w:rPr>
              <w:t xml:space="preserve"> €</w:t>
            </w:r>
          </w:p>
          <w:p w:rsidR="007E21E4" w:rsidRDefault="007E21E4">
            <w:pPr>
              <w:ind w:right="140"/>
              <w:jc w:val="right"/>
              <w:rPr>
                <w:rFonts w:ascii="Arial" w:hAnsi="Arial"/>
                <w:sz w:val="22"/>
              </w:rPr>
            </w:pPr>
          </w:p>
        </w:tc>
      </w:tr>
      <w:tr w:rsidR="007E21E4">
        <w:tc>
          <w:tcPr>
            <w:tcW w:w="6237" w:type="dxa"/>
            <w:tcBorders>
              <w:top w:val="single" w:sz="6" w:space="0" w:color="auto"/>
              <w:bottom w:val="nil"/>
            </w:tcBorders>
          </w:tcPr>
          <w:p w:rsidR="007E21E4" w:rsidRDefault="007E21E4" w:rsidP="00381980">
            <w:pPr>
              <w:rPr>
                <w:rFonts w:ascii="Arial" w:hAnsi="Arial"/>
                <w:sz w:val="22"/>
              </w:rPr>
            </w:pPr>
            <w:r>
              <w:rPr>
                <w:rFonts w:ascii="Arial" w:hAnsi="Arial"/>
                <w:sz w:val="22"/>
              </w:rPr>
              <w:t>EXCEDENT AU 31/12/20</w:t>
            </w:r>
            <w:r w:rsidR="00381980">
              <w:rPr>
                <w:rFonts w:ascii="Arial" w:hAnsi="Arial"/>
                <w:sz w:val="22"/>
              </w:rPr>
              <w:t>1</w:t>
            </w:r>
            <w:r w:rsidR="008613EF">
              <w:rPr>
                <w:rFonts w:ascii="Arial" w:hAnsi="Arial"/>
                <w:sz w:val="22"/>
              </w:rPr>
              <w:t>3</w:t>
            </w:r>
          </w:p>
          <w:p w:rsidR="007E21E4" w:rsidRDefault="007E21E4">
            <w:pPr>
              <w:rPr>
                <w:rFonts w:ascii="Arial" w:hAnsi="Arial"/>
                <w:sz w:val="22"/>
              </w:rPr>
            </w:pPr>
          </w:p>
        </w:tc>
        <w:tc>
          <w:tcPr>
            <w:tcW w:w="1843" w:type="dxa"/>
            <w:tcBorders>
              <w:top w:val="single" w:sz="6" w:space="0" w:color="auto"/>
              <w:bottom w:val="nil"/>
            </w:tcBorders>
          </w:tcPr>
          <w:p w:rsidR="007E21E4" w:rsidRDefault="008613EF">
            <w:pPr>
              <w:ind w:right="140"/>
              <w:jc w:val="right"/>
              <w:rPr>
                <w:rFonts w:ascii="Arial" w:hAnsi="Arial"/>
                <w:sz w:val="22"/>
              </w:rPr>
            </w:pPr>
            <w:r>
              <w:rPr>
                <w:rFonts w:ascii="Arial" w:hAnsi="Arial"/>
                <w:sz w:val="22"/>
              </w:rPr>
              <w:t>4 089 562,99</w:t>
            </w:r>
            <w:r w:rsidR="00D170B9">
              <w:rPr>
                <w:rFonts w:ascii="Arial" w:hAnsi="Arial"/>
                <w:sz w:val="22"/>
              </w:rPr>
              <w:t xml:space="preserve"> </w:t>
            </w:r>
            <w:r w:rsidR="008B4784">
              <w:rPr>
                <w:rFonts w:ascii="Arial" w:hAnsi="Arial"/>
                <w:sz w:val="22"/>
              </w:rPr>
              <w:t>€</w:t>
            </w:r>
          </w:p>
          <w:p w:rsidR="007E21E4" w:rsidRDefault="007E21E4">
            <w:pPr>
              <w:ind w:right="140"/>
              <w:jc w:val="right"/>
              <w:rPr>
                <w:rFonts w:ascii="Arial" w:hAnsi="Arial"/>
                <w:sz w:val="22"/>
              </w:rPr>
            </w:pPr>
          </w:p>
        </w:tc>
      </w:tr>
      <w:tr w:rsidR="007E21E4">
        <w:tc>
          <w:tcPr>
            <w:tcW w:w="6237" w:type="dxa"/>
            <w:tcBorders>
              <w:top w:val="nil"/>
              <w:bottom w:val="nil"/>
            </w:tcBorders>
          </w:tcPr>
          <w:p w:rsidR="007E21E4" w:rsidRDefault="007E21E4">
            <w:pPr>
              <w:rPr>
                <w:rFonts w:ascii="Arial" w:hAnsi="Arial"/>
                <w:sz w:val="22"/>
              </w:rPr>
            </w:pPr>
            <w:r>
              <w:rPr>
                <w:rFonts w:ascii="Arial" w:hAnsi="Arial"/>
                <w:b/>
                <w:sz w:val="22"/>
              </w:rPr>
              <w:t>Affectation obligatoire :</w:t>
            </w:r>
          </w:p>
          <w:p w:rsidR="007E21E4" w:rsidRDefault="007E21E4">
            <w:pPr>
              <w:rPr>
                <w:rFonts w:ascii="Arial" w:hAnsi="Arial"/>
                <w:sz w:val="22"/>
              </w:rPr>
            </w:pPr>
            <w:r>
              <w:rPr>
                <w:rFonts w:ascii="Arial" w:hAnsi="Arial"/>
                <w:sz w:val="22"/>
              </w:rPr>
              <w:t>* à la couverture du besoin de financement dégagé par la section d'investissement</w:t>
            </w:r>
          </w:p>
        </w:tc>
        <w:tc>
          <w:tcPr>
            <w:tcW w:w="1843" w:type="dxa"/>
            <w:tcBorders>
              <w:top w:val="nil"/>
              <w:bottom w:val="nil"/>
            </w:tcBorders>
          </w:tcPr>
          <w:p w:rsidR="007E21E4" w:rsidRDefault="007E21E4">
            <w:pPr>
              <w:ind w:right="140"/>
              <w:jc w:val="right"/>
              <w:rPr>
                <w:rFonts w:ascii="Arial" w:hAnsi="Arial"/>
                <w:sz w:val="22"/>
              </w:rPr>
            </w:pPr>
          </w:p>
          <w:p w:rsidR="007E21E4" w:rsidRDefault="007E21E4">
            <w:pPr>
              <w:ind w:right="140"/>
              <w:jc w:val="right"/>
              <w:rPr>
                <w:rFonts w:ascii="Arial" w:hAnsi="Arial"/>
                <w:sz w:val="22"/>
              </w:rPr>
            </w:pPr>
          </w:p>
          <w:p w:rsidR="007E21E4" w:rsidRDefault="008613EF" w:rsidP="00D170B9">
            <w:pPr>
              <w:ind w:right="140"/>
              <w:jc w:val="right"/>
              <w:rPr>
                <w:rFonts w:ascii="Arial" w:hAnsi="Arial"/>
                <w:sz w:val="22"/>
              </w:rPr>
            </w:pPr>
            <w:r>
              <w:rPr>
                <w:rFonts w:ascii="Arial" w:hAnsi="Arial"/>
                <w:sz w:val="22"/>
              </w:rPr>
              <w:t>3 326 436,40</w:t>
            </w:r>
            <w:r w:rsidR="008B4784">
              <w:rPr>
                <w:rFonts w:ascii="Arial" w:hAnsi="Arial"/>
                <w:sz w:val="22"/>
              </w:rPr>
              <w:t xml:space="preserve"> €</w:t>
            </w:r>
          </w:p>
          <w:p w:rsidR="007E21E4" w:rsidRDefault="007E21E4">
            <w:pPr>
              <w:ind w:right="140"/>
              <w:jc w:val="right"/>
              <w:rPr>
                <w:rFonts w:ascii="Arial" w:hAnsi="Arial"/>
                <w:sz w:val="22"/>
              </w:rPr>
            </w:pPr>
          </w:p>
        </w:tc>
      </w:tr>
      <w:tr w:rsidR="007E21E4">
        <w:tc>
          <w:tcPr>
            <w:tcW w:w="6237" w:type="dxa"/>
            <w:tcBorders>
              <w:top w:val="nil"/>
            </w:tcBorders>
          </w:tcPr>
          <w:p w:rsidR="007E21E4" w:rsidRDefault="007E21E4">
            <w:pPr>
              <w:rPr>
                <w:rFonts w:ascii="Arial" w:hAnsi="Arial"/>
                <w:sz w:val="22"/>
              </w:rPr>
            </w:pPr>
            <w:r>
              <w:rPr>
                <w:rFonts w:ascii="Arial" w:hAnsi="Arial"/>
                <w:b/>
                <w:sz w:val="22"/>
              </w:rPr>
              <w:t>Solde disponible</w:t>
            </w:r>
          </w:p>
          <w:p w:rsidR="007E21E4" w:rsidRDefault="007E21E4">
            <w:pPr>
              <w:rPr>
                <w:rFonts w:ascii="Arial" w:hAnsi="Arial"/>
                <w:sz w:val="22"/>
              </w:rPr>
            </w:pPr>
            <w:r>
              <w:rPr>
                <w:rFonts w:ascii="Arial" w:hAnsi="Arial"/>
                <w:sz w:val="22"/>
              </w:rPr>
              <w:t>affecté comme suit :</w:t>
            </w:r>
          </w:p>
          <w:p w:rsidR="007E21E4" w:rsidRDefault="007E21E4">
            <w:pPr>
              <w:rPr>
                <w:rFonts w:ascii="Arial" w:hAnsi="Arial"/>
                <w:sz w:val="22"/>
              </w:rPr>
            </w:pPr>
            <w:r>
              <w:rPr>
                <w:rFonts w:ascii="Arial" w:hAnsi="Arial"/>
                <w:sz w:val="22"/>
              </w:rPr>
              <w:t>* affectation complémentaire en réserves (compte 1068)</w:t>
            </w:r>
          </w:p>
          <w:p w:rsidR="007E21E4" w:rsidRDefault="007E21E4">
            <w:pPr>
              <w:rPr>
                <w:rFonts w:ascii="Arial" w:hAnsi="Arial"/>
                <w:b/>
                <w:sz w:val="22"/>
              </w:rPr>
            </w:pPr>
            <w:r>
              <w:rPr>
                <w:rFonts w:ascii="Arial" w:hAnsi="Arial"/>
                <w:sz w:val="22"/>
              </w:rPr>
              <w:t>* affectation à l'excédent reporté (report à nouveau créditeur) (ligne 002)</w:t>
            </w:r>
          </w:p>
        </w:tc>
        <w:tc>
          <w:tcPr>
            <w:tcW w:w="1843" w:type="dxa"/>
            <w:tcBorders>
              <w:top w:val="nil"/>
            </w:tcBorders>
          </w:tcPr>
          <w:p w:rsidR="007E21E4" w:rsidRDefault="007E21E4">
            <w:pPr>
              <w:ind w:right="140"/>
              <w:jc w:val="right"/>
              <w:rPr>
                <w:rFonts w:ascii="Arial" w:hAnsi="Arial"/>
                <w:sz w:val="22"/>
              </w:rPr>
            </w:pPr>
          </w:p>
          <w:p w:rsidR="007E21E4" w:rsidRDefault="007E21E4">
            <w:pPr>
              <w:ind w:right="140"/>
              <w:jc w:val="right"/>
              <w:rPr>
                <w:rFonts w:ascii="Arial" w:hAnsi="Arial"/>
                <w:sz w:val="22"/>
              </w:rPr>
            </w:pPr>
          </w:p>
          <w:p w:rsidR="007E21E4" w:rsidRDefault="007E21E4">
            <w:pPr>
              <w:ind w:right="140"/>
              <w:jc w:val="right"/>
              <w:rPr>
                <w:rFonts w:ascii="Arial" w:hAnsi="Arial"/>
                <w:sz w:val="22"/>
              </w:rPr>
            </w:pPr>
          </w:p>
          <w:p w:rsidR="007E21E4" w:rsidRDefault="007E21E4">
            <w:pPr>
              <w:ind w:right="140"/>
              <w:jc w:val="right"/>
              <w:rPr>
                <w:rFonts w:ascii="Arial" w:hAnsi="Arial"/>
                <w:sz w:val="22"/>
              </w:rPr>
            </w:pPr>
          </w:p>
          <w:p w:rsidR="007E21E4" w:rsidRPr="00161CE8" w:rsidRDefault="008613EF" w:rsidP="00161CE8">
            <w:pPr>
              <w:ind w:right="72"/>
              <w:jc w:val="right"/>
              <w:rPr>
                <w:rFonts w:ascii="Arial" w:hAnsi="Arial"/>
                <w:b/>
                <w:sz w:val="22"/>
              </w:rPr>
            </w:pPr>
            <w:r>
              <w:rPr>
                <w:rFonts w:ascii="Arial" w:hAnsi="Arial"/>
                <w:sz w:val="22"/>
              </w:rPr>
              <w:t>763 126,59</w:t>
            </w:r>
            <w:r w:rsidR="008A4A29">
              <w:rPr>
                <w:rFonts w:ascii="Arial" w:hAnsi="Arial"/>
                <w:sz w:val="22"/>
              </w:rPr>
              <w:t xml:space="preserve"> €</w:t>
            </w:r>
          </w:p>
        </w:tc>
      </w:tr>
    </w:tbl>
    <w:p w:rsidR="007E21E4" w:rsidRDefault="007E21E4">
      <w:pPr>
        <w:ind w:left="1418" w:hanging="1"/>
        <w:jc w:val="both"/>
        <w:rPr>
          <w:rFonts w:ascii="Arial" w:hAnsi="Arial"/>
          <w:sz w:val="22"/>
        </w:rPr>
      </w:pPr>
    </w:p>
    <w:p w:rsidR="0039395B" w:rsidRDefault="00CC7B00">
      <w:pPr>
        <w:ind w:left="1418" w:hanging="1"/>
        <w:jc w:val="both"/>
        <w:rPr>
          <w:rFonts w:ascii="Arial" w:hAnsi="Arial"/>
          <w:sz w:val="22"/>
        </w:rPr>
      </w:pPr>
      <w:r>
        <w:rPr>
          <w:rFonts w:ascii="Arial" w:hAnsi="Arial"/>
          <w:sz w:val="22"/>
        </w:rPr>
        <w:t>ADOPTE à l'unanimité.</w:t>
      </w:r>
    </w:p>
    <w:p w:rsidR="00107F82" w:rsidRDefault="00107F82">
      <w:pPr>
        <w:ind w:left="1418" w:hanging="1"/>
        <w:jc w:val="both"/>
        <w:rPr>
          <w:rFonts w:ascii="Arial" w:hAnsi="Arial"/>
          <w:sz w:val="22"/>
        </w:rPr>
      </w:pPr>
    </w:p>
    <w:p w:rsidR="00A277B2" w:rsidRDefault="00A277B2">
      <w:pPr>
        <w:ind w:left="1418" w:hanging="1"/>
        <w:jc w:val="both"/>
        <w:rPr>
          <w:rFonts w:ascii="Arial" w:hAnsi="Arial"/>
          <w:sz w:val="22"/>
        </w:rPr>
      </w:pPr>
    </w:p>
    <w:sectPr w:rsidR="00A277B2" w:rsidSect="00A274FC">
      <w:headerReference w:type="even" r:id="rId7"/>
      <w:headerReference w:type="default"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B3" w:rsidRDefault="00C323B3">
      <w:r>
        <w:separator/>
      </w:r>
    </w:p>
  </w:endnote>
  <w:endnote w:type="continuationSeparator" w:id="0">
    <w:p w:rsidR="00C323B3" w:rsidRDefault="00C323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B3" w:rsidRDefault="00C323B3">
      <w:r>
        <w:separator/>
      </w:r>
    </w:p>
  </w:footnote>
  <w:footnote w:type="continuationSeparator" w:id="0">
    <w:p w:rsidR="00C323B3" w:rsidRDefault="00C32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89" w:rsidRDefault="00C81389">
    <w:pPr>
      <w:pStyle w:val="En-tte"/>
      <w:ind w:firstLine="226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89" w:rsidRDefault="00C81389">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4">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6">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7">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8">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9">
    <w:nsid w:val="4CEC4B00"/>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8"/>
  </w:num>
  <w:num w:numId="3">
    <w:abstractNumId w:val="4"/>
  </w:num>
  <w:num w:numId="4">
    <w:abstractNumId w:val="6"/>
  </w:num>
  <w:num w:numId="5">
    <w:abstractNumId w:val="1"/>
  </w:num>
  <w:num w:numId="6">
    <w:abstractNumId w:val="9"/>
  </w:num>
  <w:num w:numId="7">
    <w:abstractNumId w:val="7"/>
  </w:num>
  <w:num w:numId="8">
    <w:abstractNumId w:val="5"/>
  </w:num>
  <w:num w:numId="9">
    <w:abstractNumId w:val="2"/>
  </w:num>
  <w:num w:numId="10">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67C75"/>
    <w:rsid w:val="000476B7"/>
    <w:rsid w:val="00076B07"/>
    <w:rsid w:val="00090E8A"/>
    <w:rsid w:val="000C6CD8"/>
    <w:rsid w:val="00107F82"/>
    <w:rsid w:val="00144950"/>
    <w:rsid w:val="00161CE8"/>
    <w:rsid w:val="001A6C6F"/>
    <w:rsid w:val="00224B96"/>
    <w:rsid w:val="002565A9"/>
    <w:rsid w:val="00265CE2"/>
    <w:rsid w:val="00271765"/>
    <w:rsid w:val="00310E62"/>
    <w:rsid w:val="0031441A"/>
    <w:rsid w:val="00345CC9"/>
    <w:rsid w:val="00381980"/>
    <w:rsid w:val="00384799"/>
    <w:rsid w:val="00387663"/>
    <w:rsid w:val="0039395B"/>
    <w:rsid w:val="003D25C9"/>
    <w:rsid w:val="00423168"/>
    <w:rsid w:val="004655EF"/>
    <w:rsid w:val="004E0638"/>
    <w:rsid w:val="00502932"/>
    <w:rsid w:val="00574480"/>
    <w:rsid w:val="005B144B"/>
    <w:rsid w:val="006111F4"/>
    <w:rsid w:val="0067691B"/>
    <w:rsid w:val="006E45EF"/>
    <w:rsid w:val="00727411"/>
    <w:rsid w:val="00783AE0"/>
    <w:rsid w:val="007E21E4"/>
    <w:rsid w:val="00820D00"/>
    <w:rsid w:val="008613EF"/>
    <w:rsid w:val="00887BB7"/>
    <w:rsid w:val="008A4A29"/>
    <w:rsid w:val="008B4784"/>
    <w:rsid w:val="009143E5"/>
    <w:rsid w:val="0094688C"/>
    <w:rsid w:val="00967C75"/>
    <w:rsid w:val="009A71DB"/>
    <w:rsid w:val="009D05EB"/>
    <w:rsid w:val="009F4987"/>
    <w:rsid w:val="00A274FC"/>
    <w:rsid w:val="00A277B2"/>
    <w:rsid w:val="00A44630"/>
    <w:rsid w:val="00AB1786"/>
    <w:rsid w:val="00AE1B6F"/>
    <w:rsid w:val="00B23ECC"/>
    <w:rsid w:val="00B2791A"/>
    <w:rsid w:val="00B41DA0"/>
    <w:rsid w:val="00B51031"/>
    <w:rsid w:val="00B779AF"/>
    <w:rsid w:val="00BE162E"/>
    <w:rsid w:val="00C31FFB"/>
    <w:rsid w:val="00C323B3"/>
    <w:rsid w:val="00C61742"/>
    <w:rsid w:val="00C65084"/>
    <w:rsid w:val="00C81389"/>
    <w:rsid w:val="00CC7B00"/>
    <w:rsid w:val="00CE6AE0"/>
    <w:rsid w:val="00D170B9"/>
    <w:rsid w:val="00D47E08"/>
    <w:rsid w:val="00D607E1"/>
    <w:rsid w:val="00DA79EA"/>
    <w:rsid w:val="00E13AA3"/>
    <w:rsid w:val="00E407B0"/>
    <w:rsid w:val="00E42C01"/>
    <w:rsid w:val="00E80183"/>
    <w:rsid w:val="00F61293"/>
    <w:rsid w:val="00F8389B"/>
    <w:rsid w:val="00FB46E3"/>
    <w:rsid w:val="00FE16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FC"/>
    <w:rPr>
      <w:rFonts w:ascii="Univers (W1)" w:hAnsi="Univers (W1)"/>
    </w:rPr>
  </w:style>
  <w:style w:type="paragraph" w:styleId="Titre1">
    <w:name w:val="heading 1"/>
    <w:basedOn w:val="Normal"/>
    <w:next w:val="Normal"/>
    <w:qFormat/>
    <w:rsid w:val="00A274FC"/>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A274FC"/>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A274FC"/>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A274FC"/>
    <w:rPr>
      <w:sz w:val="16"/>
      <w:szCs w:val="16"/>
    </w:rPr>
  </w:style>
  <w:style w:type="paragraph" w:styleId="Commentaire">
    <w:name w:val="annotation text"/>
    <w:basedOn w:val="Normal"/>
    <w:semiHidden/>
    <w:rsid w:val="00A274FC"/>
  </w:style>
  <w:style w:type="paragraph" w:styleId="En-tte">
    <w:name w:val="header"/>
    <w:basedOn w:val="Normal"/>
    <w:rsid w:val="00A274FC"/>
    <w:pPr>
      <w:tabs>
        <w:tab w:val="center" w:pos="4536"/>
        <w:tab w:val="right" w:pos="9072"/>
      </w:tabs>
    </w:pPr>
  </w:style>
  <w:style w:type="paragraph" w:styleId="Pieddepage">
    <w:name w:val="footer"/>
    <w:basedOn w:val="Normal"/>
    <w:rsid w:val="00A274FC"/>
    <w:pPr>
      <w:tabs>
        <w:tab w:val="center" w:pos="4536"/>
        <w:tab w:val="right" w:pos="9072"/>
      </w:tabs>
    </w:pPr>
  </w:style>
  <w:style w:type="paragraph" w:customStyle="1" w:styleId="Paragraphe">
    <w:name w:val="Paragraphe"/>
    <w:basedOn w:val="Normal"/>
    <w:rsid w:val="00A274FC"/>
    <w:pPr>
      <w:ind w:firstLine="1276"/>
      <w:jc w:val="both"/>
    </w:pPr>
  </w:style>
  <w:style w:type="paragraph" w:styleId="Retraitcorpsdetexte">
    <w:name w:val="Body Text Indent"/>
    <w:basedOn w:val="Normal"/>
    <w:rsid w:val="00A274FC"/>
    <w:pPr>
      <w:ind w:left="2269" w:firstLine="1133"/>
      <w:jc w:val="both"/>
    </w:pPr>
    <w:rPr>
      <w:rFonts w:ascii="Univers" w:hAnsi="Univers"/>
      <w:sz w:val="22"/>
      <w:szCs w:val="22"/>
    </w:rPr>
  </w:style>
  <w:style w:type="paragraph" w:styleId="Retraitcorpsdetexte2">
    <w:name w:val="Body Text Indent 2"/>
    <w:basedOn w:val="Normal"/>
    <w:rsid w:val="00A274FC"/>
    <w:pPr>
      <w:ind w:left="2552"/>
      <w:jc w:val="both"/>
    </w:pPr>
    <w:rPr>
      <w:rFonts w:ascii="Univers" w:hAnsi="Univers"/>
      <w:sz w:val="22"/>
      <w:szCs w:val="22"/>
    </w:rPr>
  </w:style>
  <w:style w:type="paragraph" w:styleId="Retraitcorpsdetexte3">
    <w:name w:val="Body Text Indent 3"/>
    <w:basedOn w:val="Normal"/>
    <w:rsid w:val="00A274FC"/>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7E2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Secrétariat Général</dc:creator>
  <cp:keywords>bilan acquisitions, 1996</cp:keywords>
  <cp:lastModifiedBy>marbea</cp:lastModifiedBy>
  <cp:revision>6</cp:revision>
  <cp:lastPrinted>2014-05-02T12:24:00Z</cp:lastPrinted>
  <dcterms:created xsi:type="dcterms:W3CDTF">2014-05-02T12:20:00Z</dcterms:created>
  <dcterms:modified xsi:type="dcterms:W3CDTF">2014-05-27T08:57:00Z</dcterms:modified>
</cp:coreProperties>
</file>