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AFF" w:rsidRPr="000E0ED5" w:rsidRDefault="00CB7AFF" w:rsidP="00CD3F6D">
      <w:pPr>
        <w:pStyle w:val="Titre1"/>
        <w:ind w:left="567"/>
        <w:rPr>
          <w:rFonts w:ascii="Arial" w:hAnsi="Arial" w:cs="Arial"/>
          <w:sz w:val="28"/>
          <w:szCs w:val="28"/>
        </w:rPr>
      </w:pPr>
      <w:r w:rsidRPr="000E0ED5">
        <w:rPr>
          <w:rFonts w:ascii="Arial" w:hAnsi="Arial" w:cs="Arial"/>
          <w:sz w:val="28"/>
          <w:szCs w:val="28"/>
        </w:rPr>
        <w:t>Ville de Riorges</w:t>
      </w:r>
    </w:p>
    <w:p w:rsidR="00CB7AFF" w:rsidRDefault="004E26B8" w:rsidP="00CD3F6D">
      <w:pPr>
        <w:pStyle w:val="Titre1"/>
        <w:tabs>
          <w:tab w:val="right" w:pos="9639"/>
        </w:tabs>
        <w:ind w:left="567"/>
        <w:rPr>
          <w:rFonts w:ascii="Arial" w:hAnsi="Arial"/>
        </w:rPr>
      </w:pPr>
      <w:r>
        <w:rPr>
          <w:rFonts w:ascii="Arial" w:hAnsi="Arial"/>
        </w:rPr>
        <w:t>Délibération du c</w:t>
      </w:r>
      <w:r w:rsidR="00CB7AFF">
        <w:rPr>
          <w:rFonts w:ascii="Arial" w:hAnsi="Arial"/>
        </w:rPr>
        <w:t xml:space="preserve">onseil municipal du </w:t>
      </w:r>
      <w:r w:rsidR="008217EA">
        <w:rPr>
          <w:rFonts w:ascii="Arial" w:hAnsi="Arial"/>
        </w:rPr>
        <w:t>16 mars 2017</w:t>
      </w:r>
      <w:r w:rsidR="00CB7AFF">
        <w:rPr>
          <w:rFonts w:ascii="Arial" w:hAnsi="Arial"/>
        </w:rPr>
        <w:tab/>
      </w:r>
      <w:r w:rsidR="009A654A">
        <w:rPr>
          <w:rFonts w:ascii="Arial" w:hAnsi="Arial"/>
        </w:rPr>
        <w:t>2.7</w:t>
      </w:r>
      <w:bookmarkStart w:id="0" w:name="_GoBack"/>
      <w:bookmarkEnd w:id="0"/>
    </w:p>
    <w:p w:rsidR="000F12ED" w:rsidRDefault="000F12ED">
      <w:pPr>
        <w:tabs>
          <w:tab w:val="left" w:pos="3261"/>
        </w:tabs>
        <w:ind w:left="2269"/>
        <w:jc w:val="center"/>
        <w:rPr>
          <w:rFonts w:ascii="Arial" w:hAnsi="Arial"/>
          <w:b/>
          <w:sz w:val="22"/>
        </w:rPr>
      </w:pPr>
    </w:p>
    <w:p w:rsidR="000F12ED" w:rsidRDefault="000F12ED">
      <w:pPr>
        <w:tabs>
          <w:tab w:val="left" w:pos="3261"/>
        </w:tabs>
        <w:ind w:left="2269"/>
        <w:jc w:val="center"/>
        <w:rPr>
          <w:rFonts w:ascii="Arial" w:hAnsi="Arial"/>
          <w:b/>
          <w:sz w:val="22"/>
        </w:rPr>
      </w:pPr>
    </w:p>
    <w:p w:rsidR="00412895" w:rsidRDefault="00412895">
      <w:pPr>
        <w:tabs>
          <w:tab w:val="left" w:pos="3261"/>
        </w:tabs>
        <w:ind w:left="2269"/>
        <w:jc w:val="center"/>
        <w:rPr>
          <w:rFonts w:ascii="Arial" w:hAnsi="Arial"/>
          <w:b/>
          <w:sz w:val="22"/>
        </w:rPr>
      </w:pPr>
    </w:p>
    <w:p w:rsidR="000F12ED" w:rsidRPr="000E0ED5" w:rsidRDefault="008611F0">
      <w:pPr>
        <w:pStyle w:val="Titre2"/>
        <w:jc w:val="right"/>
        <w:rPr>
          <w:rFonts w:ascii="Arial" w:hAnsi="Arial" w:cs="Arial"/>
        </w:rPr>
      </w:pPr>
      <w:r w:rsidRPr="000E0ED5">
        <w:rPr>
          <w:rFonts w:ascii="Arial" w:hAnsi="Arial" w:cs="Arial"/>
        </w:rPr>
        <w:t>FINANCES</w:t>
      </w:r>
    </w:p>
    <w:p w:rsidR="00A0537E" w:rsidRDefault="00A0537E" w:rsidP="00CB7AFF">
      <w:pPr>
        <w:pStyle w:val="Retraitcorpsdetexte"/>
        <w:jc w:val="right"/>
        <w:rPr>
          <w:rFonts w:ascii="Arial" w:hAnsi="Arial"/>
        </w:rPr>
      </w:pPr>
    </w:p>
    <w:p w:rsidR="00FC4394" w:rsidRDefault="00891735" w:rsidP="00CB7AFF">
      <w:pPr>
        <w:pStyle w:val="Retraitcorpsdetexte"/>
        <w:jc w:val="right"/>
        <w:rPr>
          <w:rFonts w:ascii="Arial" w:hAnsi="Arial"/>
        </w:rPr>
      </w:pPr>
      <w:r>
        <w:rPr>
          <w:rFonts w:ascii="Arial" w:hAnsi="Arial"/>
        </w:rPr>
        <w:t>REAMENAGEMENT DE PRETS CONTRACTES PAR OPHEOR</w:t>
      </w:r>
    </w:p>
    <w:p w:rsidR="008611F0" w:rsidRDefault="008611F0" w:rsidP="000E4428">
      <w:pPr>
        <w:pStyle w:val="Retraitcorpsdetexte"/>
        <w:jc w:val="right"/>
        <w:rPr>
          <w:rFonts w:ascii="Arial" w:hAnsi="Arial"/>
        </w:rPr>
      </w:pPr>
      <w:r>
        <w:rPr>
          <w:rFonts w:ascii="Arial" w:hAnsi="Arial"/>
        </w:rPr>
        <w:t>AUPRES</w:t>
      </w:r>
      <w:r w:rsidR="006F0E9C">
        <w:rPr>
          <w:rFonts w:ascii="Arial" w:hAnsi="Arial"/>
        </w:rPr>
        <w:t xml:space="preserve"> </w:t>
      </w:r>
      <w:r w:rsidR="00750F02">
        <w:rPr>
          <w:rFonts w:ascii="Arial" w:hAnsi="Arial"/>
        </w:rPr>
        <w:t>DE LA CAISSE DES DEPOTS ET CONSIGNATIONS</w:t>
      </w:r>
    </w:p>
    <w:p w:rsidR="00CD4537" w:rsidRDefault="00CD4537" w:rsidP="000E4428">
      <w:pPr>
        <w:pStyle w:val="Retraitcorpsdetexte"/>
        <w:jc w:val="right"/>
        <w:rPr>
          <w:rFonts w:ascii="Arial" w:hAnsi="Arial"/>
        </w:rPr>
      </w:pPr>
      <w:r>
        <w:rPr>
          <w:rFonts w:ascii="Arial" w:hAnsi="Arial"/>
        </w:rPr>
        <w:t>(AVENANT N° 58013)</w:t>
      </w:r>
    </w:p>
    <w:p w:rsidR="008611F0" w:rsidRDefault="008611F0" w:rsidP="008611F0">
      <w:pPr>
        <w:pStyle w:val="Retraitcorpsdetexte"/>
        <w:jc w:val="right"/>
        <w:rPr>
          <w:rFonts w:ascii="Arial" w:hAnsi="Arial"/>
        </w:rPr>
      </w:pPr>
      <w:r>
        <w:rPr>
          <w:rFonts w:ascii="Arial" w:hAnsi="Arial"/>
        </w:rPr>
        <w:t>GARANTIE DE LA COMMUNE</w:t>
      </w:r>
    </w:p>
    <w:p w:rsidR="000F12ED" w:rsidRDefault="000F12ED">
      <w:pPr>
        <w:ind w:left="1418" w:hanging="1"/>
        <w:jc w:val="both"/>
        <w:rPr>
          <w:rFonts w:ascii="Arial" w:hAnsi="Arial"/>
          <w:sz w:val="22"/>
        </w:rPr>
      </w:pPr>
    </w:p>
    <w:p w:rsidR="00185770" w:rsidRDefault="00185770" w:rsidP="008611F0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CD4537" w:rsidRDefault="00CD4537" w:rsidP="008611F0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4E26B8" w:rsidRDefault="004E26B8" w:rsidP="005716E1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Pierre BARNET, conseiller municipal délégué aux finances et au personnel, expose à l'assemblée :</w:t>
      </w:r>
    </w:p>
    <w:p w:rsidR="00E26ADA" w:rsidRDefault="00E26ADA" w:rsidP="008611F0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6F0E9C" w:rsidRDefault="004E26B8" w:rsidP="008611F0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"</w:t>
      </w:r>
      <w:r w:rsidR="00CD4537">
        <w:rPr>
          <w:rFonts w:ascii="Arial" w:hAnsi="Arial" w:cs="Arial"/>
          <w:sz w:val="22"/>
          <w:szCs w:val="22"/>
        </w:rPr>
        <w:t>Un travail sur la gestion de la dette a été engagé durant l'année 2016 par OPHEOR afin de revoir les paramètres d'une partie de sa dette (durée, progressivité, indices…).</w:t>
      </w:r>
    </w:p>
    <w:p w:rsidR="00CD4537" w:rsidRDefault="00CD4537" w:rsidP="008611F0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CD4537" w:rsidRDefault="00CD4537" w:rsidP="008611F0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Les échanges avec la Caisse des Dépôts et Consignations ont abouti à une proposition de réaménagement partielle de la dette de l'Office en fin d'année 2016 pour une mise en place sur 2017.</w:t>
      </w:r>
    </w:p>
    <w:p w:rsidR="00CD4537" w:rsidRDefault="00CD4537" w:rsidP="008611F0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CD4537" w:rsidRDefault="00CD4537" w:rsidP="008611F0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 commune ayant octroyé sa garantie pour </w:t>
      </w:r>
      <w:r w:rsidR="007031CC">
        <w:rPr>
          <w:rFonts w:ascii="Arial" w:hAnsi="Arial" w:cs="Arial"/>
          <w:sz w:val="22"/>
          <w:szCs w:val="22"/>
        </w:rPr>
        <w:t>les emprunts concernés</w:t>
      </w:r>
      <w:r>
        <w:rPr>
          <w:rFonts w:ascii="Arial" w:hAnsi="Arial" w:cs="Arial"/>
          <w:sz w:val="22"/>
          <w:szCs w:val="22"/>
        </w:rPr>
        <w:t xml:space="preserve">, il convient qu'elle la réitère pour le remboursement de chaque ligne du prêt réaménagé. La garantie porte sur la totalité des montants réaménagés, à savoir : 1 591 825,14 €. </w:t>
      </w:r>
    </w:p>
    <w:p w:rsidR="007031CC" w:rsidRDefault="007031CC" w:rsidP="008611F0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7031CC" w:rsidRDefault="007031CC" w:rsidP="008611F0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Les caractéristiques financières des lignes du prêt réaménagées sont les suivantes :</w:t>
      </w:r>
    </w:p>
    <w:p w:rsidR="007031CC" w:rsidRDefault="007031CC" w:rsidP="008611F0">
      <w:pPr>
        <w:ind w:left="1418"/>
        <w:jc w:val="both"/>
        <w:rPr>
          <w:rFonts w:ascii="Arial" w:hAnsi="Arial" w:cs="Arial"/>
          <w:sz w:val="22"/>
          <w:szCs w:val="22"/>
        </w:rPr>
      </w:pPr>
    </w:p>
    <w:tbl>
      <w:tblPr>
        <w:tblStyle w:val="Grilledutableau"/>
        <w:tblW w:w="0" w:type="auto"/>
        <w:tblInd w:w="1526" w:type="dxa"/>
        <w:tblLook w:val="04A0" w:firstRow="1" w:lastRow="0" w:firstColumn="1" w:lastColumn="0" w:noHBand="0" w:noVBand="1"/>
      </w:tblPr>
      <w:tblGrid>
        <w:gridCol w:w="1297"/>
        <w:gridCol w:w="1467"/>
        <w:gridCol w:w="213"/>
        <w:gridCol w:w="1098"/>
        <w:gridCol w:w="1515"/>
        <w:gridCol w:w="1435"/>
        <w:gridCol w:w="1304"/>
      </w:tblGrid>
      <w:tr w:rsidR="007031CC" w:rsidRPr="007031CC" w:rsidTr="00AB030C">
        <w:tc>
          <w:tcPr>
            <w:tcW w:w="1297" w:type="dxa"/>
            <w:vAlign w:val="center"/>
          </w:tcPr>
          <w:p w:rsidR="007031CC" w:rsidRPr="007031CC" w:rsidRDefault="007031CC" w:rsidP="005C085A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031CC">
              <w:rPr>
                <w:rFonts w:ascii="Arial" w:hAnsi="Arial" w:cs="Arial"/>
                <w:b/>
                <w:sz w:val="18"/>
                <w:szCs w:val="18"/>
              </w:rPr>
              <w:t>N° Ligne du prêt</w:t>
            </w:r>
          </w:p>
        </w:tc>
        <w:tc>
          <w:tcPr>
            <w:tcW w:w="1467" w:type="dxa"/>
            <w:vAlign w:val="center"/>
          </w:tcPr>
          <w:p w:rsidR="007031CC" w:rsidRPr="007031CC" w:rsidRDefault="007031CC" w:rsidP="005C085A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031CC">
              <w:rPr>
                <w:rFonts w:ascii="Arial" w:hAnsi="Arial" w:cs="Arial"/>
                <w:b/>
                <w:sz w:val="18"/>
                <w:szCs w:val="18"/>
              </w:rPr>
              <w:t>Montant réaménagé</w:t>
            </w:r>
          </w:p>
        </w:tc>
        <w:tc>
          <w:tcPr>
            <w:tcW w:w="1311" w:type="dxa"/>
            <w:gridSpan w:val="2"/>
            <w:vAlign w:val="center"/>
          </w:tcPr>
          <w:p w:rsidR="007031CC" w:rsidRPr="007031CC" w:rsidRDefault="007031CC" w:rsidP="005C085A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031CC">
              <w:rPr>
                <w:rFonts w:ascii="Arial" w:hAnsi="Arial" w:cs="Arial"/>
                <w:b/>
                <w:sz w:val="18"/>
                <w:szCs w:val="18"/>
              </w:rPr>
              <w:t>Durée</w:t>
            </w:r>
          </w:p>
        </w:tc>
        <w:tc>
          <w:tcPr>
            <w:tcW w:w="1515" w:type="dxa"/>
            <w:vAlign w:val="center"/>
          </w:tcPr>
          <w:p w:rsidR="007031CC" w:rsidRPr="007031CC" w:rsidRDefault="007031CC" w:rsidP="005C085A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031CC">
              <w:rPr>
                <w:rFonts w:ascii="Arial" w:hAnsi="Arial" w:cs="Arial"/>
                <w:b/>
                <w:sz w:val="18"/>
                <w:szCs w:val="18"/>
              </w:rPr>
              <w:t>Périodicité</w:t>
            </w:r>
            <w:r w:rsidRPr="007031CC">
              <w:rPr>
                <w:rFonts w:ascii="Arial" w:hAnsi="Arial" w:cs="Arial"/>
                <w:b/>
                <w:sz w:val="18"/>
                <w:szCs w:val="18"/>
              </w:rPr>
              <w:br/>
              <w:t>échéances</w:t>
            </w:r>
          </w:p>
        </w:tc>
        <w:tc>
          <w:tcPr>
            <w:tcW w:w="1435" w:type="dxa"/>
            <w:vAlign w:val="center"/>
          </w:tcPr>
          <w:p w:rsidR="007031CC" w:rsidRPr="007031CC" w:rsidRDefault="007031CC" w:rsidP="005C085A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031CC">
              <w:rPr>
                <w:rFonts w:ascii="Arial" w:hAnsi="Arial" w:cs="Arial"/>
                <w:b/>
                <w:sz w:val="18"/>
                <w:szCs w:val="18"/>
              </w:rPr>
              <w:t>Taux</w:t>
            </w:r>
          </w:p>
        </w:tc>
        <w:tc>
          <w:tcPr>
            <w:tcW w:w="1304" w:type="dxa"/>
            <w:vAlign w:val="center"/>
          </w:tcPr>
          <w:p w:rsidR="007031CC" w:rsidRPr="007031CC" w:rsidRDefault="007031CC" w:rsidP="005C085A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031CC">
              <w:rPr>
                <w:rFonts w:ascii="Arial" w:hAnsi="Arial" w:cs="Arial"/>
                <w:b/>
                <w:sz w:val="18"/>
                <w:szCs w:val="18"/>
              </w:rPr>
              <w:t>Index</w:t>
            </w:r>
          </w:p>
        </w:tc>
      </w:tr>
      <w:tr w:rsidR="007031CC" w:rsidTr="00AB030C">
        <w:tc>
          <w:tcPr>
            <w:tcW w:w="1297" w:type="dxa"/>
          </w:tcPr>
          <w:p w:rsidR="007031CC" w:rsidRPr="007031CC" w:rsidRDefault="007031CC" w:rsidP="005C085A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0274320</w:t>
            </w:r>
          </w:p>
        </w:tc>
        <w:tc>
          <w:tcPr>
            <w:tcW w:w="1467" w:type="dxa"/>
          </w:tcPr>
          <w:p w:rsidR="007031CC" w:rsidRPr="007031CC" w:rsidRDefault="007031CC" w:rsidP="005C085A">
            <w:pPr>
              <w:spacing w:before="40" w:after="40"/>
              <w:ind w:right="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31 019,35</w:t>
            </w:r>
          </w:p>
        </w:tc>
        <w:tc>
          <w:tcPr>
            <w:tcW w:w="1311" w:type="dxa"/>
            <w:gridSpan w:val="2"/>
          </w:tcPr>
          <w:p w:rsidR="007031CC" w:rsidRPr="007031CC" w:rsidRDefault="007031CC" w:rsidP="005C085A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 ans</w:t>
            </w:r>
          </w:p>
        </w:tc>
        <w:tc>
          <w:tcPr>
            <w:tcW w:w="1515" w:type="dxa"/>
          </w:tcPr>
          <w:p w:rsidR="007031CC" w:rsidRPr="007031CC" w:rsidRDefault="007031CC" w:rsidP="005C085A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Trimestrielle</w:t>
            </w:r>
          </w:p>
        </w:tc>
        <w:tc>
          <w:tcPr>
            <w:tcW w:w="1435" w:type="dxa"/>
          </w:tcPr>
          <w:p w:rsidR="007031CC" w:rsidRPr="007031CC" w:rsidRDefault="007031CC" w:rsidP="005C085A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</w:t>
            </w:r>
            <w:r w:rsidR="00DF7C6A">
              <w:rPr>
                <w:rFonts w:ascii="Arial" w:hAnsi="Arial" w:cs="Arial"/>
              </w:rPr>
              <w:t>*</w:t>
            </w:r>
            <w:r>
              <w:rPr>
                <w:rFonts w:ascii="Arial" w:hAnsi="Arial" w:cs="Arial"/>
              </w:rPr>
              <w:t>+1,040</w:t>
            </w:r>
          </w:p>
        </w:tc>
        <w:tc>
          <w:tcPr>
            <w:tcW w:w="1304" w:type="dxa"/>
          </w:tcPr>
          <w:p w:rsidR="007031CC" w:rsidRPr="007031CC" w:rsidRDefault="007031CC" w:rsidP="005C085A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Livret A</w:t>
            </w:r>
          </w:p>
        </w:tc>
      </w:tr>
      <w:tr w:rsidR="007031CC" w:rsidTr="00AB030C">
        <w:tc>
          <w:tcPr>
            <w:tcW w:w="1297" w:type="dxa"/>
          </w:tcPr>
          <w:p w:rsidR="007031CC" w:rsidRPr="007031CC" w:rsidRDefault="00CC5DEE" w:rsidP="005C085A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1191905</w:t>
            </w:r>
          </w:p>
        </w:tc>
        <w:tc>
          <w:tcPr>
            <w:tcW w:w="1467" w:type="dxa"/>
          </w:tcPr>
          <w:p w:rsidR="007031CC" w:rsidRPr="007031CC" w:rsidRDefault="00CC5DEE" w:rsidP="005C085A">
            <w:pPr>
              <w:spacing w:before="40" w:after="40"/>
              <w:ind w:right="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1 560 805,79</w:t>
            </w:r>
          </w:p>
        </w:tc>
        <w:tc>
          <w:tcPr>
            <w:tcW w:w="1311" w:type="dxa"/>
            <w:gridSpan w:val="2"/>
            <w:tcBorders>
              <w:bottom w:val="single" w:sz="4" w:space="0" w:color="000080"/>
            </w:tcBorders>
          </w:tcPr>
          <w:p w:rsidR="007031CC" w:rsidRPr="007031CC" w:rsidRDefault="00CC5DEE" w:rsidP="005C085A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 ans</w:t>
            </w:r>
          </w:p>
        </w:tc>
        <w:tc>
          <w:tcPr>
            <w:tcW w:w="1515" w:type="dxa"/>
            <w:tcBorders>
              <w:bottom w:val="single" w:sz="4" w:space="0" w:color="000080"/>
            </w:tcBorders>
          </w:tcPr>
          <w:p w:rsidR="007031CC" w:rsidRPr="007031CC" w:rsidRDefault="00CC5DEE" w:rsidP="005C085A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Trimestrielle</w:t>
            </w:r>
          </w:p>
        </w:tc>
        <w:tc>
          <w:tcPr>
            <w:tcW w:w="1435" w:type="dxa"/>
            <w:tcBorders>
              <w:bottom w:val="single" w:sz="4" w:space="0" w:color="000080"/>
            </w:tcBorders>
          </w:tcPr>
          <w:p w:rsidR="007031CC" w:rsidRPr="007031CC" w:rsidRDefault="00CC5DEE" w:rsidP="005C085A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</w:t>
            </w:r>
            <w:r w:rsidR="00DF7C6A">
              <w:rPr>
                <w:rFonts w:ascii="Arial" w:hAnsi="Arial" w:cs="Arial"/>
              </w:rPr>
              <w:t>*</w:t>
            </w:r>
            <w:r>
              <w:rPr>
                <w:rFonts w:ascii="Arial" w:hAnsi="Arial" w:cs="Arial"/>
              </w:rPr>
              <w:t>+1,040</w:t>
            </w:r>
          </w:p>
        </w:tc>
        <w:tc>
          <w:tcPr>
            <w:tcW w:w="1304" w:type="dxa"/>
            <w:tcBorders>
              <w:bottom w:val="single" w:sz="4" w:space="0" w:color="000080"/>
            </w:tcBorders>
          </w:tcPr>
          <w:p w:rsidR="007031CC" w:rsidRPr="007031CC" w:rsidRDefault="00CC5DEE" w:rsidP="005C085A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Livret A</w:t>
            </w:r>
          </w:p>
        </w:tc>
      </w:tr>
      <w:tr w:rsidR="00CC5DEE" w:rsidTr="004E26B8">
        <w:tc>
          <w:tcPr>
            <w:tcW w:w="1297" w:type="dxa"/>
          </w:tcPr>
          <w:p w:rsidR="00CC5DEE" w:rsidRPr="00CC5DEE" w:rsidRDefault="00CC5DEE" w:rsidP="005C085A">
            <w:pPr>
              <w:spacing w:before="40" w:after="40"/>
              <w:jc w:val="right"/>
              <w:rPr>
                <w:rFonts w:ascii="Arial" w:hAnsi="Arial" w:cs="Arial"/>
                <w:b/>
              </w:rPr>
            </w:pPr>
            <w:r w:rsidRPr="00CC5DEE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680" w:type="dxa"/>
            <w:gridSpan w:val="2"/>
          </w:tcPr>
          <w:p w:rsidR="00CC5DEE" w:rsidRPr="00CC5DEE" w:rsidRDefault="00CC5DEE" w:rsidP="004E26B8">
            <w:pPr>
              <w:spacing w:before="40" w:after="40"/>
              <w:ind w:right="157"/>
              <w:jc w:val="right"/>
              <w:rPr>
                <w:rFonts w:ascii="Arial" w:hAnsi="Arial" w:cs="Arial"/>
                <w:b/>
              </w:rPr>
            </w:pPr>
            <w:r w:rsidRPr="00CC5DEE">
              <w:rPr>
                <w:rFonts w:ascii="Arial" w:hAnsi="Arial" w:cs="Arial"/>
                <w:b/>
              </w:rPr>
              <w:t>1 591 825,14</w:t>
            </w:r>
            <w:r w:rsidR="004E26B8">
              <w:rPr>
                <w:rFonts w:ascii="Arial" w:hAnsi="Arial" w:cs="Arial"/>
                <w:b/>
              </w:rPr>
              <w:t>"</w:t>
            </w:r>
          </w:p>
        </w:tc>
        <w:tc>
          <w:tcPr>
            <w:tcW w:w="1098" w:type="dxa"/>
            <w:tcBorders>
              <w:bottom w:val="nil"/>
              <w:right w:val="nil"/>
            </w:tcBorders>
          </w:tcPr>
          <w:p w:rsidR="00CC5DEE" w:rsidRPr="004E26B8" w:rsidRDefault="00CC5DEE" w:rsidP="004E26B8">
            <w:pPr>
              <w:spacing w:before="40" w:after="40"/>
              <w:rPr>
                <w:rFonts w:ascii="Arial" w:hAnsi="Arial" w:cs="Arial"/>
                <w:b/>
              </w:rPr>
            </w:pPr>
          </w:p>
        </w:tc>
        <w:tc>
          <w:tcPr>
            <w:tcW w:w="1515" w:type="dxa"/>
            <w:tcBorders>
              <w:left w:val="nil"/>
              <w:bottom w:val="nil"/>
              <w:right w:val="nil"/>
            </w:tcBorders>
          </w:tcPr>
          <w:p w:rsidR="00CC5DEE" w:rsidRDefault="00CC5DEE" w:rsidP="005C085A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1435" w:type="dxa"/>
            <w:tcBorders>
              <w:left w:val="nil"/>
              <w:bottom w:val="nil"/>
              <w:right w:val="nil"/>
            </w:tcBorders>
          </w:tcPr>
          <w:p w:rsidR="00CC5DEE" w:rsidRDefault="00CC5DEE" w:rsidP="005C085A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CC5DEE" w:rsidRDefault="00CC5DEE" w:rsidP="005C085A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</w:tr>
    </w:tbl>
    <w:p w:rsidR="007031CC" w:rsidRPr="00DF7C6A" w:rsidRDefault="00DF7C6A" w:rsidP="008611F0">
      <w:pPr>
        <w:ind w:left="1418"/>
        <w:jc w:val="both"/>
        <w:rPr>
          <w:rFonts w:ascii="Arial" w:hAnsi="Arial" w:cs="Arial"/>
          <w:sz w:val="18"/>
          <w:szCs w:val="18"/>
        </w:rPr>
      </w:pPr>
      <w:r w:rsidRPr="00DF7C6A">
        <w:rPr>
          <w:rFonts w:ascii="Arial" w:hAnsi="Arial" w:cs="Arial"/>
          <w:sz w:val="18"/>
          <w:szCs w:val="18"/>
        </w:rPr>
        <w:t>* Livret A</w:t>
      </w:r>
    </w:p>
    <w:p w:rsidR="00DF7C6A" w:rsidRDefault="00DF7C6A" w:rsidP="008611F0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D15F2E" w:rsidRDefault="00D52CFD" w:rsidP="00D15F2E">
      <w:pPr>
        <w:ind w:left="1418" w:hanging="1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Vu les articles L2252-1 et L2252-2 du Code général des collectivités territoriales ;</w:t>
      </w:r>
    </w:p>
    <w:p w:rsidR="00D52CFD" w:rsidRDefault="00D52CFD" w:rsidP="00D15F2E">
      <w:pPr>
        <w:ind w:left="1418" w:hanging="1"/>
        <w:jc w:val="both"/>
        <w:rPr>
          <w:rFonts w:ascii="Arial" w:hAnsi="Arial" w:cs="Arial"/>
          <w:sz w:val="22"/>
        </w:rPr>
      </w:pPr>
    </w:p>
    <w:p w:rsidR="00D52CFD" w:rsidRDefault="00D52CFD" w:rsidP="00D15F2E">
      <w:pPr>
        <w:ind w:left="1418" w:hanging="1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Vu l'article 2298 du Code civil ;</w:t>
      </w:r>
    </w:p>
    <w:p w:rsidR="00D52CFD" w:rsidRDefault="00D52CFD" w:rsidP="00D15F2E">
      <w:pPr>
        <w:ind w:left="1418" w:hanging="1"/>
        <w:jc w:val="both"/>
        <w:rPr>
          <w:rFonts w:ascii="Arial" w:hAnsi="Arial" w:cs="Arial"/>
          <w:sz w:val="22"/>
        </w:rPr>
      </w:pPr>
    </w:p>
    <w:p w:rsidR="004E26B8" w:rsidRDefault="00D52CFD" w:rsidP="00D15F2E">
      <w:pPr>
        <w:ind w:left="1418" w:hanging="1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Le conseil municipal, à l'unanimité,</w:t>
      </w:r>
    </w:p>
    <w:p w:rsidR="00D52CFD" w:rsidRDefault="00D52CFD" w:rsidP="00D15F2E">
      <w:pPr>
        <w:ind w:left="1418" w:hanging="1"/>
        <w:jc w:val="both"/>
        <w:rPr>
          <w:rFonts w:ascii="Arial" w:hAnsi="Arial" w:cs="Arial"/>
          <w:sz w:val="22"/>
        </w:rPr>
      </w:pPr>
    </w:p>
    <w:p w:rsidR="00D52CFD" w:rsidRPr="00D52CFD" w:rsidRDefault="00D52CFD" w:rsidP="00D52CFD">
      <w:pPr>
        <w:ind w:left="1418" w:hanging="1"/>
        <w:jc w:val="center"/>
        <w:rPr>
          <w:rFonts w:ascii="Arial" w:hAnsi="Arial" w:cs="Arial"/>
          <w:b/>
          <w:sz w:val="24"/>
          <w:szCs w:val="24"/>
        </w:rPr>
      </w:pPr>
      <w:r w:rsidRPr="00D52CFD">
        <w:rPr>
          <w:rFonts w:ascii="Arial" w:hAnsi="Arial" w:cs="Arial"/>
          <w:b/>
          <w:sz w:val="24"/>
          <w:szCs w:val="24"/>
        </w:rPr>
        <w:t>DELIBERE</w:t>
      </w:r>
    </w:p>
    <w:p w:rsidR="00D52CFD" w:rsidRDefault="00D52CFD" w:rsidP="00D15F2E">
      <w:pPr>
        <w:ind w:left="1418" w:hanging="1"/>
        <w:jc w:val="both"/>
        <w:rPr>
          <w:rFonts w:ascii="Arial" w:hAnsi="Arial" w:cs="Arial"/>
          <w:sz w:val="22"/>
        </w:rPr>
      </w:pPr>
    </w:p>
    <w:p w:rsidR="00D52CFD" w:rsidRPr="00D52CFD" w:rsidRDefault="00D52CFD" w:rsidP="00D52CFD">
      <w:pPr>
        <w:spacing w:after="120"/>
        <w:ind w:left="1418"/>
        <w:jc w:val="both"/>
        <w:rPr>
          <w:rFonts w:ascii="Arial" w:hAnsi="Arial" w:cs="Arial"/>
          <w:b/>
          <w:sz w:val="22"/>
        </w:rPr>
      </w:pPr>
      <w:r w:rsidRPr="00D52CFD">
        <w:rPr>
          <w:rFonts w:ascii="Arial" w:hAnsi="Arial" w:cs="Arial"/>
          <w:b/>
          <w:sz w:val="22"/>
        </w:rPr>
        <w:t>Article 1</w:t>
      </w:r>
    </w:p>
    <w:p w:rsidR="00D52CFD" w:rsidRDefault="00D52CFD" w:rsidP="00D15F2E">
      <w:pPr>
        <w:ind w:left="1418" w:hanging="1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La commune de Riorges réitère sa garantie pour le remboursement de chaque ligne du prêt réaménagée, </w:t>
      </w:r>
      <w:r w:rsidR="00183B33">
        <w:rPr>
          <w:rFonts w:ascii="Arial" w:hAnsi="Arial" w:cs="Arial"/>
          <w:sz w:val="22"/>
        </w:rPr>
        <w:t>initialement</w:t>
      </w:r>
      <w:r>
        <w:rPr>
          <w:rFonts w:ascii="Arial" w:hAnsi="Arial" w:cs="Arial"/>
          <w:sz w:val="22"/>
        </w:rPr>
        <w:t xml:space="preserve"> contractée par l'emprunteur (OPHEOR) auprès de la Caisse des Dépôts et Consignations, selon les conditions définies à l'article 2 et référencées à l'annexe "caractéristiques financières des lignes du prêt réaménagées".</w:t>
      </w:r>
    </w:p>
    <w:p w:rsidR="00D52CFD" w:rsidRDefault="00D52CFD" w:rsidP="00D15F2E">
      <w:pPr>
        <w:ind w:left="1418" w:hanging="1"/>
        <w:jc w:val="both"/>
        <w:rPr>
          <w:rFonts w:ascii="Arial" w:hAnsi="Arial" w:cs="Arial"/>
          <w:sz w:val="22"/>
        </w:rPr>
      </w:pPr>
    </w:p>
    <w:p w:rsidR="00D52CFD" w:rsidRDefault="00D52CFD" w:rsidP="00D15F2E">
      <w:pPr>
        <w:ind w:left="1418" w:hanging="1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La garantie est accordée pour chaque ligne du prêt réaménagée, à hauteur de la quotité indiquée à l'annexe précitée, et ce jusqu'au complet remboursement des </w:t>
      </w:r>
      <w:r w:rsidR="00683F1A">
        <w:rPr>
          <w:rFonts w:ascii="Arial" w:hAnsi="Arial" w:cs="Arial"/>
          <w:sz w:val="22"/>
        </w:rPr>
        <w:br/>
      </w:r>
      <w:r w:rsidR="00683F1A">
        <w:rPr>
          <w:rFonts w:ascii="Arial" w:hAnsi="Arial" w:cs="Arial"/>
          <w:sz w:val="22"/>
        </w:rPr>
        <w:lastRenderedPageBreak/>
        <w:br/>
      </w:r>
      <w:r w:rsidR="00683F1A">
        <w:rPr>
          <w:rFonts w:ascii="Arial" w:hAnsi="Arial" w:cs="Arial"/>
          <w:sz w:val="22"/>
        </w:rPr>
        <w:br/>
      </w:r>
      <w:r w:rsidR="00683F1A">
        <w:rPr>
          <w:rFonts w:ascii="Arial" w:hAnsi="Arial" w:cs="Arial"/>
          <w:sz w:val="22"/>
        </w:rPr>
        <w:br/>
      </w:r>
      <w:r>
        <w:rPr>
          <w:rFonts w:ascii="Arial" w:hAnsi="Arial" w:cs="Arial"/>
          <w:sz w:val="22"/>
        </w:rPr>
        <w:t xml:space="preserve">sommes dues (en principal, majoré des intérêts, intérêts compensateurs ou </w:t>
      </w:r>
      <w:r w:rsidR="00183B33">
        <w:rPr>
          <w:rFonts w:ascii="Arial" w:hAnsi="Arial" w:cs="Arial"/>
          <w:sz w:val="22"/>
        </w:rPr>
        <w:t>différés, y</w:t>
      </w:r>
      <w:r>
        <w:rPr>
          <w:rFonts w:ascii="Arial" w:hAnsi="Arial" w:cs="Arial"/>
          <w:sz w:val="22"/>
        </w:rPr>
        <w:t xml:space="preserve"> compris toutes commissions, pénalités ou indemnités pouvant être dues notamment en cas de remboursement anticipé) ou les intérêts moratoires qu'il aurait encourus au titre des prêts </w:t>
      </w:r>
      <w:r w:rsidR="00183B33">
        <w:rPr>
          <w:rFonts w:ascii="Arial" w:hAnsi="Arial" w:cs="Arial"/>
          <w:sz w:val="22"/>
        </w:rPr>
        <w:t>réaménagés</w:t>
      </w:r>
      <w:r>
        <w:rPr>
          <w:rFonts w:ascii="Arial" w:hAnsi="Arial" w:cs="Arial"/>
          <w:sz w:val="22"/>
        </w:rPr>
        <w:t>.</w:t>
      </w:r>
    </w:p>
    <w:p w:rsidR="00D52CFD" w:rsidRDefault="00D52CFD" w:rsidP="00D15F2E">
      <w:pPr>
        <w:ind w:left="1418" w:hanging="1"/>
        <w:jc w:val="both"/>
        <w:rPr>
          <w:rFonts w:ascii="Arial" w:hAnsi="Arial" w:cs="Arial"/>
          <w:sz w:val="22"/>
        </w:rPr>
      </w:pPr>
    </w:p>
    <w:p w:rsidR="00D52CFD" w:rsidRPr="00D52CFD" w:rsidRDefault="00D52CFD" w:rsidP="00D52CFD">
      <w:pPr>
        <w:spacing w:after="120"/>
        <w:ind w:left="1418"/>
        <w:jc w:val="both"/>
        <w:rPr>
          <w:rFonts w:ascii="Arial" w:hAnsi="Arial" w:cs="Arial"/>
          <w:b/>
          <w:sz w:val="22"/>
        </w:rPr>
      </w:pPr>
      <w:r w:rsidRPr="00D52CFD">
        <w:rPr>
          <w:rFonts w:ascii="Arial" w:hAnsi="Arial" w:cs="Arial"/>
          <w:b/>
          <w:sz w:val="22"/>
        </w:rPr>
        <w:t>Article 2</w:t>
      </w:r>
    </w:p>
    <w:p w:rsidR="004E26B8" w:rsidRDefault="00D52CFD" w:rsidP="00D15F2E">
      <w:pPr>
        <w:ind w:left="1418" w:hanging="1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Les nouvelles caractéristiques financières des lignes du prêt réaménagées sont indiquées pour chacune d'entre elles, à l'annexe "caractéristiques financières des lignes du prêt réaménagées" qui fait partie intégrante de la présente délibération.</w:t>
      </w:r>
    </w:p>
    <w:p w:rsidR="00D52CFD" w:rsidRDefault="00D52CFD" w:rsidP="00D15F2E">
      <w:pPr>
        <w:ind w:left="1418" w:hanging="1"/>
        <w:jc w:val="both"/>
        <w:rPr>
          <w:rFonts w:ascii="Arial" w:hAnsi="Arial" w:cs="Arial"/>
          <w:sz w:val="22"/>
        </w:rPr>
      </w:pPr>
    </w:p>
    <w:p w:rsidR="00D52CFD" w:rsidRDefault="00D52CFD" w:rsidP="00D15F2E">
      <w:pPr>
        <w:ind w:left="1418" w:hanging="1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Concernant les lignes du prêt réaménagées à taux révisables indexés sur le taux du Livret A, le taux du Livret A effectivement appliqué auxdites lignes du prêt réaménagées sera celui en vigueur à la date de valeur du réaménagement.</w:t>
      </w:r>
    </w:p>
    <w:p w:rsidR="00147B78" w:rsidRDefault="00147B78" w:rsidP="00D15F2E">
      <w:pPr>
        <w:ind w:left="1418" w:hanging="1"/>
        <w:jc w:val="both"/>
        <w:rPr>
          <w:rFonts w:ascii="Arial" w:hAnsi="Arial" w:cs="Arial"/>
          <w:sz w:val="22"/>
        </w:rPr>
      </w:pPr>
    </w:p>
    <w:p w:rsidR="00147B78" w:rsidRDefault="00147B78" w:rsidP="00D15F2E">
      <w:pPr>
        <w:ind w:left="1418" w:hanging="1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Les caractéristiques financières modifiées s'appliquent à chaque ligne du prêt réaménagée référencée à l'annexe à compter de la date d'effet de l'avenant constatant le réaménagement, et ce jusqu'au complet remboursement des sommes dues.</w:t>
      </w:r>
    </w:p>
    <w:p w:rsidR="00147B78" w:rsidRDefault="00147B78" w:rsidP="00D15F2E">
      <w:pPr>
        <w:ind w:left="1418" w:hanging="1"/>
        <w:jc w:val="both"/>
        <w:rPr>
          <w:rFonts w:ascii="Arial" w:hAnsi="Arial" w:cs="Arial"/>
          <w:sz w:val="22"/>
        </w:rPr>
      </w:pPr>
    </w:p>
    <w:p w:rsidR="00147B78" w:rsidRDefault="00147B78" w:rsidP="00D15F2E">
      <w:pPr>
        <w:ind w:left="1418" w:hanging="1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 titre indicatif, le taux du Livret A au 12 décembre 2016 est de 0,75 %.</w:t>
      </w:r>
    </w:p>
    <w:p w:rsidR="00147B78" w:rsidRDefault="00147B78" w:rsidP="00D15F2E">
      <w:pPr>
        <w:ind w:left="1418" w:hanging="1"/>
        <w:jc w:val="both"/>
        <w:rPr>
          <w:rFonts w:ascii="Arial" w:hAnsi="Arial" w:cs="Arial"/>
          <w:sz w:val="22"/>
        </w:rPr>
      </w:pPr>
    </w:p>
    <w:p w:rsidR="00147B78" w:rsidRPr="00147B78" w:rsidRDefault="00147B78" w:rsidP="00147B78">
      <w:pPr>
        <w:spacing w:after="120"/>
        <w:ind w:left="1418"/>
        <w:jc w:val="both"/>
        <w:rPr>
          <w:rFonts w:ascii="Arial" w:hAnsi="Arial" w:cs="Arial"/>
          <w:b/>
          <w:sz w:val="22"/>
        </w:rPr>
      </w:pPr>
      <w:r w:rsidRPr="00147B78">
        <w:rPr>
          <w:rFonts w:ascii="Arial" w:hAnsi="Arial" w:cs="Arial"/>
          <w:b/>
          <w:sz w:val="22"/>
        </w:rPr>
        <w:t>Article 3</w:t>
      </w:r>
    </w:p>
    <w:p w:rsidR="00D52CFD" w:rsidRDefault="00147B78" w:rsidP="00D15F2E">
      <w:pPr>
        <w:ind w:left="1418" w:hanging="1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La garantie de la collectivité est accordée jusqu'au complet remboursement des sommes contractuellement dues par l'emprunteur, dont il ne se serait pas acquitté </w:t>
      </w:r>
      <w:r w:rsidR="00615A53">
        <w:rPr>
          <w:rFonts w:ascii="Arial" w:hAnsi="Arial" w:cs="Arial"/>
          <w:sz w:val="22"/>
        </w:rPr>
        <w:t>à la date d'exigibilité.</w:t>
      </w:r>
    </w:p>
    <w:p w:rsidR="00615A53" w:rsidRDefault="00615A53" w:rsidP="00D15F2E">
      <w:pPr>
        <w:ind w:left="1418" w:hanging="1"/>
        <w:jc w:val="both"/>
        <w:rPr>
          <w:rFonts w:ascii="Arial" w:hAnsi="Arial" w:cs="Arial"/>
          <w:sz w:val="22"/>
        </w:rPr>
      </w:pPr>
    </w:p>
    <w:p w:rsidR="00615A53" w:rsidRDefault="00615A53" w:rsidP="00D15F2E">
      <w:pPr>
        <w:ind w:left="1418" w:hanging="1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Sur notification de l'impayé par lettre simple de la Caisse des Dépôts et Consignations, la commune s'engage à se substituer à l'emprunteur pour son paiement, en renonçant au bénéfice de discussion et sans jamais opposer le défaut de ressources nécessaires à ce règlement.</w:t>
      </w:r>
    </w:p>
    <w:p w:rsidR="00615A53" w:rsidRDefault="00615A53" w:rsidP="00D15F2E">
      <w:pPr>
        <w:ind w:left="1418" w:hanging="1"/>
        <w:jc w:val="both"/>
        <w:rPr>
          <w:rFonts w:ascii="Arial" w:hAnsi="Arial" w:cs="Arial"/>
          <w:sz w:val="22"/>
        </w:rPr>
      </w:pPr>
    </w:p>
    <w:p w:rsidR="00615A53" w:rsidRPr="00615A53" w:rsidRDefault="00615A53" w:rsidP="00615A53">
      <w:pPr>
        <w:spacing w:after="120"/>
        <w:ind w:left="1418"/>
        <w:jc w:val="both"/>
        <w:rPr>
          <w:rFonts w:ascii="Arial" w:hAnsi="Arial" w:cs="Arial"/>
          <w:b/>
          <w:sz w:val="22"/>
        </w:rPr>
      </w:pPr>
      <w:r w:rsidRPr="00615A53">
        <w:rPr>
          <w:rFonts w:ascii="Arial" w:hAnsi="Arial" w:cs="Arial"/>
          <w:b/>
          <w:sz w:val="22"/>
        </w:rPr>
        <w:t>Article 4</w:t>
      </w:r>
    </w:p>
    <w:p w:rsidR="00615A53" w:rsidRDefault="00615A53" w:rsidP="00D15F2E">
      <w:pPr>
        <w:ind w:left="1418" w:hanging="1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Le conseil municipal s'engage jusqu'au complet remboursement des sommes contractuellement dues, à libérer, en cas de besoin, des ressources suffisantes pour en couvrir les charges.</w:t>
      </w:r>
    </w:p>
    <w:p w:rsidR="00615A53" w:rsidRDefault="00615A53" w:rsidP="00D15F2E">
      <w:pPr>
        <w:ind w:left="1418" w:hanging="1"/>
        <w:jc w:val="both"/>
        <w:rPr>
          <w:rFonts w:ascii="Arial" w:hAnsi="Arial" w:cs="Arial"/>
          <w:sz w:val="22"/>
        </w:rPr>
      </w:pPr>
    </w:p>
    <w:p w:rsidR="00D52CFD" w:rsidRDefault="00D52CFD" w:rsidP="00D15F2E">
      <w:pPr>
        <w:ind w:left="1418" w:hanging="1"/>
        <w:jc w:val="both"/>
        <w:rPr>
          <w:rFonts w:ascii="Arial" w:hAnsi="Arial" w:cs="Arial"/>
          <w:sz w:val="22"/>
        </w:rPr>
      </w:pPr>
    </w:p>
    <w:p w:rsidR="00D15F2E" w:rsidRDefault="00D15F2E" w:rsidP="00D15F2E">
      <w:pPr>
        <w:ind w:left="1418" w:hanging="1"/>
        <w:jc w:val="both"/>
        <w:rPr>
          <w:rFonts w:ascii="Arial" w:hAnsi="Arial" w:cs="Arial"/>
          <w:sz w:val="22"/>
        </w:rPr>
      </w:pPr>
    </w:p>
    <w:sectPr w:rsidR="00D15F2E" w:rsidSect="00106388">
      <w:headerReference w:type="even" r:id="rId8"/>
      <w:headerReference w:type="default" r:id="rId9"/>
      <w:pgSz w:w="11907" w:h="16840"/>
      <w:pgMar w:top="454" w:right="1701" w:bottom="1985" w:left="56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7F4" w:rsidRDefault="004627F4">
      <w:r>
        <w:separator/>
      </w:r>
    </w:p>
  </w:endnote>
  <w:endnote w:type="continuationSeparator" w:id="0">
    <w:p w:rsidR="004627F4" w:rsidRDefault="00462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7F4" w:rsidRDefault="004627F4">
      <w:r>
        <w:separator/>
      </w:r>
    </w:p>
  </w:footnote>
  <w:footnote w:type="continuationSeparator" w:id="0">
    <w:p w:rsidR="004627F4" w:rsidRDefault="004627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7F4" w:rsidRDefault="004627F4" w:rsidP="008E051C">
    <w:pPr>
      <w:pStyle w:val="En-tte"/>
      <w:ind w:left="1418"/>
    </w:pPr>
    <w:r>
      <w:t>.../...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7F4" w:rsidRDefault="004627F4" w:rsidP="00185770">
    <w:pPr>
      <w:pStyle w:val="En-tte"/>
      <w:ind w:left="1418"/>
    </w:pPr>
    <w:r>
      <w:t>…/…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E0BB9"/>
    <w:multiLevelType w:val="hybridMultilevel"/>
    <w:tmpl w:val="5D02747E"/>
    <w:lvl w:ilvl="0" w:tplc="017AE5AA">
      <w:start w:val="1"/>
      <w:numFmt w:val="bullet"/>
      <w:lvlText w:val="-"/>
      <w:lvlJc w:val="left"/>
      <w:pPr>
        <w:tabs>
          <w:tab w:val="num" w:pos="3555"/>
        </w:tabs>
        <w:ind w:left="3555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7"/>
        </w:tabs>
        <w:ind w:left="2857" w:hanging="360"/>
      </w:pPr>
      <w:rPr>
        <w:rFonts w:ascii="Courier New" w:hAnsi="Courier New" w:cs="Courier New" w:hint="default"/>
      </w:rPr>
    </w:lvl>
    <w:lvl w:ilvl="2" w:tplc="017AE5AA">
      <w:start w:val="1"/>
      <w:numFmt w:val="bullet"/>
      <w:lvlText w:val="-"/>
      <w:lvlJc w:val="left"/>
      <w:pPr>
        <w:tabs>
          <w:tab w:val="num" w:pos="3577"/>
        </w:tabs>
        <w:ind w:left="3577" w:hanging="360"/>
      </w:pPr>
      <w:rPr>
        <w:rFonts w:ascii="Arial" w:hAnsi="Aria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7"/>
        </w:tabs>
        <w:ind w:left="42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7"/>
        </w:tabs>
        <w:ind w:left="50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7"/>
        </w:tabs>
        <w:ind w:left="57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7"/>
        </w:tabs>
        <w:ind w:left="64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7"/>
        </w:tabs>
        <w:ind w:left="71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7"/>
        </w:tabs>
        <w:ind w:left="7897" w:hanging="360"/>
      </w:pPr>
      <w:rPr>
        <w:rFonts w:ascii="Wingdings" w:hAnsi="Wingdings" w:hint="default"/>
      </w:rPr>
    </w:lvl>
  </w:abstractNum>
  <w:abstractNum w:abstractNumId="1">
    <w:nsid w:val="1CCB4967"/>
    <w:multiLevelType w:val="hybridMultilevel"/>
    <w:tmpl w:val="66C8791C"/>
    <w:lvl w:ilvl="0" w:tplc="BD76CC86">
      <w:start w:val="1"/>
      <w:numFmt w:val="bullet"/>
      <w:lvlText w:val="–"/>
      <w:lvlJc w:val="left"/>
      <w:pPr>
        <w:tabs>
          <w:tab w:val="num" w:pos="2138"/>
        </w:tabs>
        <w:ind w:left="2138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">
    <w:nsid w:val="247F62BC"/>
    <w:multiLevelType w:val="multilevel"/>
    <w:tmpl w:val="3DE4AEC0"/>
    <w:lvl w:ilvl="0">
      <w:start w:val="1"/>
      <w:numFmt w:val="bullet"/>
      <w:lvlText w:val="-"/>
      <w:lvlJc w:val="left"/>
      <w:pPr>
        <w:tabs>
          <w:tab w:val="num" w:pos="3555"/>
        </w:tabs>
        <w:ind w:left="3555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2857"/>
        </w:tabs>
        <w:ind w:left="285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77"/>
        </w:tabs>
        <w:ind w:left="357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7"/>
        </w:tabs>
        <w:ind w:left="429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7"/>
        </w:tabs>
        <w:ind w:left="501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7"/>
        </w:tabs>
        <w:ind w:left="573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7"/>
        </w:tabs>
        <w:ind w:left="645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7"/>
        </w:tabs>
        <w:ind w:left="717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7"/>
        </w:tabs>
        <w:ind w:left="7897" w:hanging="360"/>
      </w:pPr>
      <w:rPr>
        <w:rFonts w:ascii="Wingdings" w:hAnsi="Wingdings" w:hint="default"/>
      </w:rPr>
    </w:lvl>
  </w:abstractNum>
  <w:abstractNum w:abstractNumId="3">
    <w:nsid w:val="29816913"/>
    <w:multiLevelType w:val="singleLevel"/>
    <w:tmpl w:val="AD982806"/>
    <w:lvl w:ilvl="0">
      <w:numFmt w:val="bullet"/>
      <w:lvlText w:val="-"/>
      <w:lvlJc w:val="left"/>
      <w:pPr>
        <w:tabs>
          <w:tab w:val="num" w:pos="3762"/>
        </w:tabs>
        <w:ind w:left="3762" w:hanging="360"/>
      </w:pPr>
      <w:rPr>
        <w:rFonts w:ascii="Times New Roman" w:hAnsi="Times New Roman" w:hint="default"/>
      </w:rPr>
    </w:lvl>
  </w:abstractNum>
  <w:abstractNum w:abstractNumId="4">
    <w:nsid w:val="29AF5E37"/>
    <w:multiLevelType w:val="singleLevel"/>
    <w:tmpl w:val="E6668506"/>
    <w:lvl w:ilvl="0">
      <w:numFmt w:val="bullet"/>
      <w:lvlText w:val=""/>
      <w:lvlJc w:val="left"/>
      <w:pPr>
        <w:tabs>
          <w:tab w:val="num" w:pos="725"/>
        </w:tabs>
        <w:ind w:left="725" w:hanging="360"/>
      </w:pPr>
      <w:rPr>
        <w:rFonts w:ascii="Wingdings" w:hAnsi="Wingdings" w:hint="default"/>
      </w:rPr>
    </w:lvl>
  </w:abstractNum>
  <w:abstractNum w:abstractNumId="5">
    <w:nsid w:val="3D610151"/>
    <w:multiLevelType w:val="singleLevel"/>
    <w:tmpl w:val="1F34602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40791737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CEC4B00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542263CB"/>
    <w:multiLevelType w:val="singleLevel"/>
    <w:tmpl w:val="040C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5A1650C0"/>
    <w:multiLevelType w:val="multilevel"/>
    <w:tmpl w:val="848ED440"/>
    <w:lvl w:ilvl="0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0">
    <w:nsid w:val="5A890E4C"/>
    <w:multiLevelType w:val="hybridMultilevel"/>
    <w:tmpl w:val="3DE4AEC0"/>
    <w:lvl w:ilvl="0" w:tplc="017AE5AA">
      <w:start w:val="1"/>
      <w:numFmt w:val="bullet"/>
      <w:lvlText w:val="-"/>
      <w:lvlJc w:val="left"/>
      <w:pPr>
        <w:tabs>
          <w:tab w:val="num" w:pos="3555"/>
        </w:tabs>
        <w:ind w:left="3555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7"/>
        </w:tabs>
        <w:ind w:left="2857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577"/>
        </w:tabs>
        <w:ind w:left="35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7"/>
        </w:tabs>
        <w:ind w:left="42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7"/>
        </w:tabs>
        <w:ind w:left="50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7"/>
        </w:tabs>
        <w:ind w:left="57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7"/>
        </w:tabs>
        <w:ind w:left="64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7"/>
        </w:tabs>
        <w:ind w:left="71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7"/>
        </w:tabs>
        <w:ind w:left="7897" w:hanging="360"/>
      </w:pPr>
      <w:rPr>
        <w:rFonts w:ascii="Wingdings" w:hAnsi="Wingdings" w:hint="default"/>
      </w:rPr>
    </w:lvl>
  </w:abstractNum>
  <w:abstractNum w:abstractNumId="11">
    <w:nsid w:val="6A342A63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">
    <w:nsid w:val="6D88585D"/>
    <w:multiLevelType w:val="singleLevel"/>
    <w:tmpl w:val="AD982806"/>
    <w:lvl w:ilvl="0">
      <w:numFmt w:val="bullet"/>
      <w:lvlText w:val="-"/>
      <w:lvlJc w:val="left"/>
      <w:pPr>
        <w:tabs>
          <w:tab w:val="num" w:pos="3762"/>
        </w:tabs>
        <w:ind w:left="3762" w:hanging="360"/>
      </w:pPr>
      <w:rPr>
        <w:rFonts w:ascii="Times New Roman" w:hAnsi="Times New Roman" w:hint="default"/>
      </w:rPr>
    </w:lvl>
  </w:abstractNum>
  <w:abstractNum w:abstractNumId="13">
    <w:nsid w:val="6E9C31EF"/>
    <w:multiLevelType w:val="hybridMultilevel"/>
    <w:tmpl w:val="9892BEB0"/>
    <w:lvl w:ilvl="0" w:tplc="327E54D0"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7"/>
        </w:tabs>
        <w:ind w:left="2857" w:hanging="360"/>
      </w:pPr>
      <w:rPr>
        <w:rFonts w:ascii="Courier New" w:hAnsi="Courier New" w:cs="Courier New" w:hint="default"/>
      </w:rPr>
    </w:lvl>
    <w:lvl w:ilvl="2" w:tplc="017AE5AA">
      <w:start w:val="1"/>
      <w:numFmt w:val="bullet"/>
      <w:lvlText w:val="-"/>
      <w:lvlJc w:val="left"/>
      <w:pPr>
        <w:tabs>
          <w:tab w:val="num" w:pos="3577"/>
        </w:tabs>
        <w:ind w:left="3577" w:hanging="360"/>
      </w:pPr>
      <w:rPr>
        <w:rFonts w:ascii="Arial" w:hAnsi="Aria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7"/>
        </w:tabs>
        <w:ind w:left="42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7"/>
        </w:tabs>
        <w:ind w:left="50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7"/>
        </w:tabs>
        <w:ind w:left="57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7"/>
        </w:tabs>
        <w:ind w:left="64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7"/>
        </w:tabs>
        <w:ind w:left="71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7"/>
        </w:tabs>
        <w:ind w:left="7897" w:hanging="360"/>
      </w:pPr>
      <w:rPr>
        <w:rFonts w:ascii="Wingdings" w:hAnsi="Wingdings" w:hint="default"/>
      </w:rPr>
    </w:lvl>
  </w:abstractNum>
  <w:abstractNum w:abstractNumId="14">
    <w:nsid w:val="6F7D5914"/>
    <w:multiLevelType w:val="hybridMultilevel"/>
    <w:tmpl w:val="5456C068"/>
    <w:lvl w:ilvl="0" w:tplc="327E54D0">
      <w:numFmt w:val="bullet"/>
      <w:lvlText w:val="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15">
    <w:nsid w:val="73891BE8"/>
    <w:multiLevelType w:val="hybridMultilevel"/>
    <w:tmpl w:val="848ED440"/>
    <w:lvl w:ilvl="0" w:tplc="040C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6">
    <w:nsid w:val="745954C9"/>
    <w:multiLevelType w:val="multilevel"/>
    <w:tmpl w:val="5D02747E"/>
    <w:lvl w:ilvl="0">
      <w:start w:val="1"/>
      <w:numFmt w:val="bullet"/>
      <w:lvlText w:val="-"/>
      <w:lvlJc w:val="left"/>
      <w:pPr>
        <w:tabs>
          <w:tab w:val="num" w:pos="3555"/>
        </w:tabs>
        <w:ind w:left="3555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2857"/>
        </w:tabs>
        <w:ind w:left="285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-"/>
      <w:lvlJc w:val="left"/>
      <w:pPr>
        <w:tabs>
          <w:tab w:val="num" w:pos="3577"/>
        </w:tabs>
        <w:ind w:left="3577" w:hanging="360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tabs>
          <w:tab w:val="num" w:pos="4297"/>
        </w:tabs>
        <w:ind w:left="429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7"/>
        </w:tabs>
        <w:ind w:left="501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7"/>
        </w:tabs>
        <w:ind w:left="573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7"/>
        </w:tabs>
        <w:ind w:left="645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7"/>
        </w:tabs>
        <w:ind w:left="717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7"/>
        </w:tabs>
        <w:ind w:left="7897" w:hanging="360"/>
      </w:pPr>
      <w:rPr>
        <w:rFonts w:ascii="Wingdings" w:hAnsi="Wingdings" w:hint="default"/>
      </w:rPr>
    </w:lvl>
  </w:abstractNum>
  <w:abstractNum w:abstractNumId="17">
    <w:nsid w:val="75865664"/>
    <w:multiLevelType w:val="multilevel"/>
    <w:tmpl w:val="5456C068"/>
    <w:lvl w:ilvl="0">
      <w:numFmt w:val="bullet"/>
      <w:lvlText w:val="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18">
    <w:nsid w:val="764B63CB"/>
    <w:multiLevelType w:val="hybridMultilevel"/>
    <w:tmpl w:val="3B383A84"/>
    <w:lvl w:ilvl="0" w:tplc="C310BA30">
      <w:start w:val="407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8"/>
  </w:num>
  <w:num w:numId="4">
    <w:abstractNumId w:val="5"/>
  </w:num>
  <w:num w:numId="5">
    <w:abstractNumId w:val="4"/>
  </w:num>
  <w:num w:numId="6">
    <w:abstractNumId w:val="12"/>
  </w:num>
  <w:num w:numId="7">
    <w:abstractNumId w:val="3"/>
  </w:num>
  <w:num w:numId="8">
    <w:abstractNumId w:val="6"/>
  </w:num>
  <w:num w:numId="9">
    <w:abstractNumId w:val="15"/>
  </w:num>
  <w:num w:numId="10">
    <w:abstractNumId w:val="9"/>
  </w:num>
  <w:num w:numId="11">
    <w:abstractNumId w:val="1"/>
  </w:num>
  <w:num w:numId="12">
    <w:abstractNumId w:val="10"/>
  </w:num>
  <w:num w:numId="13">
    <w:abstractNumId w:val="2"/>
  </w:num>
  <w:num w:numId="14">
    <w:abstractNumId w:val="0"/>
  </w:num>
  <w:num w:numId="15">
    <w:abstractNumId w:val="14"/>
  </w:num>
  <w:num w:numId="16">
    <w:abstractNumId w:val="17"/>
  </w:num>
  <w:num w:numId="17">
    <w:abstractNumId w:val="18"/>
  </w:num>
  <w:num w:numId="18">
    <w:abstractNumId w:val="16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A2B"/>
    <w:rsid w:val="00032653"/>
    <w:rsid w:val="00033BEE"/>
    <w:rsid w:val="0004423D"/>
    <w:rsid w:val="00063306"/>
    <w:rsid w:val="00082658"/>
    <w:rsid w:val="00087D15"/>
    <w:rsid w:val="000A19BF"/>
    <w:rsid w:val="000B0078"/>
    <w:rsid w:val="000C0C11"/>
    <w:rsid w:val="000E0ED5"/>
    <w:rsid w:val="000E4428"/>
    <w:rsid w:val="000F12ED"/>
    <w:rsid w:val="00105FE2"/>
    <w:rsid w:val="00106388"/>
    <w:rsid w:val="001131CF"/>
    <w:rsid w:val="0011326C"/>
    <w:rsid w:val="00121FDC"/>
    <w:rsid w:val="001237BE"/>
    <w:rsid w:val="00131C99"/>
    <w:rsid w:val="00147B78"/>
    <w:rsid w:val="001805F7"/>
    <w:rsid w:val="00183B33"/>
    <w:rsid w:val="00185770"/>
    <w:rsid w:val="00187377"/>
    <w:rsid w:val="001A330C"/>
    <w:rsid w:val="001A6EED"/>
    <w:rsid w:val="001C66CA"/>
    <w:rsid w:val="001E5FB0"/>
    <w:rsid w:val="00202D5D"/>
    <w:rsid w:val="00212D09"/>
    <w:rsid w:val="00223994"/>
    <w:rsid w:val="0026545D"/>
    <w:rsid w:val="00287B2D"/>
    <w:rsid w:val="002979C7"/>
    <w:rsid w:val="002B4AE3"/>
    <w:rsid w:val="003034BD"/>
    <w:rsid w:val="00347049"/>
    <w:rsid w:val="0034722F"/>
    <w:rsid w:val="003563AC"/>
    <w:rsid w:val="003A495F"/>
    <w:rsid w:val="003C65E5"/>
    <w:rsid w:val="00412895"/>
    <w:rsid w:val="004516BF"/>
    <w:rsid w:val="004547CC"/>
    <w:rsid w:val="004627F4"/>
    <w:rsid w:val="004720E9"/>
    <w:rsid w:val="0047550C"/>
    <w:rsid w:val="004774B8"/>
    <w:rsid w:val="004847FB"/>
    <w:rsid w:val="0048577E"/>
    <w:rsid w:val="004A1DA3"/>
    <w:rsid w:val="004A683E"/>
    <w:rsid w:val="004E26B8"/>
    <w:rsid w:val="004F3A2B"/>
    <w:rsid w:val="00502FD4"/>
    <w:rsid w:val="005266ED"/>
    <w:rsid w:val="00564B39"/>
    <w:rsid w:val="00565293"/>
    <w:rsid w:val="005733FF"/>
    <w:rsid w:val="00573B93"/>
    <w:rsid w:val="005A79AA"/>
    <w:rsid w:val="005B56F5"/>
    <w:rsid w:val="005C0611"/>
    <w:rsid w:val="005C085A"/>
    <w:rsid w:val="005E4A30"/>
    <w:rsid w:val="005E6805"/>
    <w:rsid w:val="005E6E14"/>
    <w:rsid w:val="00605FF1"/>
    <w:rsid w:val="00615A53"/>
    <w:rsid w:val="00625841"/>
    <w:rsid w:val="00625B7F"/>
    <w:rsid w:val="00641AD0"/>
    <w:rsid w:val="00646230"/>
    <w:rsid w:val="00650FF5"/>
    <w:rsid w:val="00670D6F"/>
    <w:rsid w:val="00683F1A"/>
    <w:rsid w:val="00690F0C"/>
    <w:rsid w:val="006A020B"/>
    <w:rsid w:val="006C6F10"/>
    <w:rsid w:val="006F0E9C"/>
    <w:rsid w:val="006F59C3"/>
    <w:rsid w:val="006F64B9"/>
    <w:rsid w:val="007031CC"/>
    <w:rsid w:val="0070438E"/>
    <w:rsid w:val="00740589"/>
    <w:rsid w:val="00742A77"/>
    <w:rsid w:val="00750F02"/>
    <w:rsid w:val="00756375"/>
    <w:rsid w:val="00762A0F"/>
    <w:rsid w:val="00793FCD"/>
    <w:rsid w:val="007B3B1C"/>
    <w:rsid w:val="007F26E9"/>
    <w:rsid w:val="00802A87"/>
    <w:rsid w:val="008217EA"/>
    <w:rsid w:val="00825BFE"/>
    <w:rsid w:val="00835412"/>
    <w:rsid w:val="0084086F"/>
    <w:rsid w:val="00853C25"/>
    <w:rsid w:val="008611F0"/>
    <w:rsid w:val="008813FC"/>
    <w:rsid w:val="00891735"/>
    <w:rsid w:val="008A24B6"/>
    <w:rsid w:val="008B476C"/>
    <w:rsid w:val="008E051C"/>
    <w:rsid w:val="0092294C"/>
    <w:rsid w:val="009250F9"/>
    <w:rsid w:val="00927B62"/>
    <w:rsid w:val="009645FA"/>
    <w:rsid w:val="00966B9D"/>
    <w:rsid w:val="00986FD7"/>
    <w:rsid w:val="009970B0"/>
    <w:rsid w:val="009A4CCE"/>
    <w:rsid w:val="009A654A"/>
    <w:rsid w:val="009C4047"/>
    <w:rsid w:val="009D39BA"/>
    <w:rsid w:val="009E4317"/>
    <w:rsid w:val="009F5480"/>
    <w:rsid w:val="00A0537E"/>
    <w:rsid w:val="00A17159"/>
    <w:rsid w:val="00A23BCE"/>
    <w:rsid w:val="00A708B4"/>
    <w:rsid w:val="00A86A07"/>
    <w:rsid w:val="00AA7D22"/>
    <w:rsid w:val="00AB030C"/>
    <w:rsid w:val="00AD6B21"/>
    <w:rsid w:val="00AE1F82"/>
    <w:rsid w:val="00AE6C47"/>
    <w:rsid w:val="00B07FDC"/>
    <w:rsid w:val="00B12E73"/>
    <w:rsid w:val="00B2092A"/>
    <w:rsid w:val="00B4677A"/>
    <w:rsid w:val="00B5678B"/>
    <w:rsid w:val="00BC6912"/>
    <w:rsid w:val="00BF72C5"/>
    <w:rsid w:val="00C13E0D"/>
    <w:rsid w:val="00C45A2D"/>
    <w:rsid w:val="00C45AB2"/>
    <w:rsid w:val="00C52D37"/>
    <w:rsid w:val="00C62CAD"/>
    <w:rsid w:val="00C740E7"/>
    <w:rsid w:val="00C776C0"/>
    <w:rsid w:val="00C820E3"/>
    <w:rsid w:val="00C9431A"/>
    <w:rsid w:val="00C97192"/>
    <w:rsid w:val="00CB7AFF"/>
    <w:rsid w:val="00CC2AB6"/>
    <w:rsid w:val="00CC59BF"/>
    <w:rsid w:val="00CC5DEE"/>
    <w:rsid w:val="00CD339C"/>
    <w:rsid w:val="00CD3F6D"/>
    <w:rsid w:val="00CD4537"/>
    <w:rsid w:val="00CD4EEA"/>
    <w:rsid w:val="00CF08D2"/>
    <w:rsid w:val="00D071F4"/>
    <w:rsid w:val="00D15F2E"/>
    <w:rsid w:val="00D175AB"/>
    <w:rsid w:val="00D52CFD"/>
    <w:rsid w:val="00D65CDB"/>
    <w:rsid w:val="00DA7ACB"/>
    <w:rsid w:val="00DE2126"/>
    <w:rsid w:val="00DF092D"/>
    <w:rsid w:val="00DF5FE7"/>
    <w:rsid w:val="00DF7C6A"/>
    <w:rsid w:val="00E14176"/>
    <w:rsid w:val="00E15523"/>
    <w:rsid w:val="00E26ADA"/>
    <w:rsid w:val="00E4019F"/>
    <w:rsid w:val="00E55B3C"/>
    <w:rsid w:val="00E6390E"/>
    <w:rsid w:val="00E71FE1"/>
    <w:rsid w:val="00E75FC7"/>
    <w:rsid w:val="00E764A7"/>
    <w:rsid w:val="00EA6336"/>
    <w:rsid w:val="00EB6FEF"/>
    <w:rsid w:val="00ED1FE4"/>
    <w:rsid w:val="00EE4188"/>
    <w:rsid w:val="00EF7D23"/>
    <w:rsid w:val="00F078CD"/>
    <w:rsid w:val="00F1716A"/>
    <w:rsid w:val="00F33065"/>
    <w:rsid w:val="00F46944"/>
    <w:rsid w:val="00FB35AD"/>
    <w:rsid w:val="00FC4394"/>
    <w:rsid w:val="00FF0283"/>
    <w:rsid w:val="00FF2AA5"/>
    <w:rsid w:val="00FF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 (W1)" w:eastAsia="Times New Roman" w:hAnsi="CG Times (W1)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0E9"/>
    <w:rPr>
      <w:rFonts w:ascii="Univers (W1)" w:hAnsi="Univers (W1)"/>
    </w:rPr>
  </w:style>
  <w:style w:type="paragraph" w:styleId="Titre1">
    <w:name w:val="heading 1"/>
    <w:basedOn w:val="Normal"/>
    <w:next w:val="Normal"/>
    <w:qFormat/>
    <w:rsid w:val="004720E9"/>
    <w:pPr>
      <w:keepNext/>
      <w:tabs>
        <w:tab w:val="left" w:pos="3261"/>
      </w:tabs>
      <w:outlineLvl w:val="0"/>
    </w:pPr>
    <w:rPr>
      <w:rFonts w:ascii="Univers" w:hAnsi="Univers"/>
      <w:b/>
      <w:bCs/>
      <w:sz w:val="22"/>
      <w:szCs w:val="22"/>
    </w:rPr>
  </w:style>
  <w:style w:type="paragraph" w:styleId="Titre2">
    <w:name w:val="heading 2"/>
    <w:basedOn w:val="Normal"/>
    <w:next w:val="Normal"/>
    <w:qFormat/>
    <w:rsid w:val="004720E9"/>
    <w:pPr>
      <w:keepNext/>
      <w:tabs>
        <w:tab w:val="left" w:pos="3261"/>
      </w:tabs>
      <w:ind w:left="2269"/>
      <w:jc w:val="center"/>
      <w:outlineLvl w:val="1"/>
    </w:pPr>
    <w:rPr>
      <w:rFonts w:ascii="Univers" w:hAnsi="Univers"/>
      <w:b/>
      <w:bCs/>
      <w:sz w:val="24"/>
      <w:szCs w:val="24"/>
    </w:rPr>
  </w:style>
  <w:style w:type="paragraph" w:styleId="Titre5">
    <w:name w:val="heading 5"/>
    <w:basedOn w:val="Normal"/>
    <w:next w:val="Normal"/>
    <w:qFormat/>
    <w:rsid w:val="00C820E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4720E9"/>
    <w:pPr>
      <w:tabs>
        <w:tab w:val="center" w:pos="4819"/>
        <w:tab w:val="right" w:pos="9071"/>
      </w:tabs>
    </w:pPr>
  </w:style>
  <w:style w:type="paragraph" w:styleId="En-tte">
    <w:name w:val="header"/>
    <w:basedOn w:val="Normal"/>
    <w:rsid w:val="004720E9"/>
    <w:pPr>
      <w:tabs>
        <w:tab w:val="center" w:pos="4819"/>
        <w:tab w:val="right" w:pos="9071"/>
      </w:tabs>
    </w:pPr>
  </w:style>
  <w:style w:type="paragraph" w:styleId="Titre">
    <w:name w:val="Title"/>
    <w:basedOn w:val="Normal"/>
    <w:qFormat/>
    <w:rsid w:val="004720E9"/>
    <w:pPr>
      <w:tabs>
        <w:tab w:val="left" w:pos="3261"/>
      </w:tabs>
      <w:ind w:left="2269"/>
      <w:jc w:val="center"/>
    </w:pPr>
    <w:rPr>
      <w:rFonts w:ascii="Univers" w:hAnsi="Univers"/>
      <w:b/>
      <w:bCs/>
      <w:sz w:val="22"/>
      <w:szCs w:val="22"/>
    </w:rPr>
  </w:style>
  <w:style w:type="paragraph" w:styleId="Retraitcorpsdetexte">
    <w:name w:val="Body Text Indent"/>
    <w:basedOn w:val="Normal"/>
    <w:rsid w:val="004720E9"/>
    <w:pPr>
      <w:tabs>
        <w:tab w:val="left" w:pos="3261"/>
      </w:tabs>
      <w:ind w:left="2269"/>
    </w:pPr>
    <w:rPr>
      <w:rFonts w:ascii="Univers" w:hAnsi="Univers"/>
      <w:b/>
      <w:bCs/>
      <w:sz w:val="22"/>
      <w:szCs w:val="22"/>
    </w:rPr>
  </w:style>
  <w:style w:type="paragraph" w:styleId="Corpsdetexte">
    <w:name w:val="Body Text"/>
    <w:basedOn w:val="Normal"/>
    <w:rsid w:val="004720E9"/>
    <w:rPr>
      <w:rFonts w:ascii="Univers" w:hAnsi="Univers"/>
      <w:sz w:val="22"/>
      <w:szCs w:val="22"/>
    </w:rPr>
  </w:style>
  <w:style w:type="paragraph" w:styleId="Retraitcorpsdetexte2">
    <w:name w:val="Body Text Indent 2"/>
    <w:basedOn w:val="Normal"/>
    <w:rsid w:val="004720E9"/>
    <w:pPr>
      <w:ind w:left="2269" w:firstLine="1133"/>
      <w:jc w:val="both"/>
    </w:pPr>
    <w:rPr>
      <w:rFonts w:ascii="Tahoma" w:hAnsi="Tahoma" w:cs="Tahoma"/>
      <w:sz w:val="22"/>
      <w:szCs w:val="22"/>
    </w:rPr>
  </w:style>
  <w:style w:type="paragraph" w:customStyle="1" w:styleId="Paragraphe">
    <w:name w:val="Paragraphe"/>
    <w:basedOn w:val="Normal"/>
    <w:rsid w:val="004720E9"/>
    <w:pPr>
      <w:ind w:firstLine="1276"/>
      <w:jc w:val="both"/>
    </w:pPr>
  </w:style>
  <w:style w:type="paragraph" w:styleId="Textedebulles">
    <w:name w:val="Balloon Text"/>
    <w:basedOn w:val="Normal"/>
    <w:semiHidden/>
    <w:rsid w:val="000F12E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D339C"/>
    <w:tblPr>
      <w:tblInd w:w="0" w:type="dxa"/>
      <w:tblBorders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  <w:insideH w:val="single" w:sz="4" w:space="0" w:color="000080"/>
        <w:insideV w:val="single" w:sz="4" w:space="0" w:color="00008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 (W1)" w:eastAsia="Times New Roman" w:hAnsi="CG Times (W1)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0E9"/>
    <w:rPr>
      <w:rFonts w:ascii="Univers (W1)" w:hAnsi="Univers (W1)"/>
    </w:rPr>
  </w:style>
  <w:style w:type="paragraph" w:styleId="Titre1">
    <w:name w:val="heading 1"/>
    <w:basedOn w:val="Normal"/>
    <w:next w:val="Normal"/>
    <w:qFormat/>
    <w:rsid w:val="004720E9"/>
    <w:pPr>
      <w:keepNext/>
      <w:tabs>
        <w:tab w:val="left" w:pos="3261"/>
      </w:tabs>
      <w:outlineLvl w:val="0"/>
    </w:pPr>
    <w:rPr>
      <w:rFonts w:ascii="Univers" w:hAnsi="Univers"/>
      <w:b/>
      <w:bCs/>
      <w:sz w:val="22"/>
      <w:szCs w:val="22"/>
    </w:rPr>
  </w:style>
  <w:style w:type="paragraph" w:styleId="Titre2">
    <w:name w:val="heading 2"/>
    <w:basedOn w:val="Normal"/>
    <w:next w:val="Normal"/>
    <w:qFormat/>
    <w:rsid w:val="004720E9"/>
    <w:pPr>
      <w:keepNext/>
      <w:tabs>
        <w:tab w:val="left" w:pos="3261"/>
      </w:tabs>
      <w:ind w:left="2269"/>
      <w:jc w:val="center"/>
      <w:outlineLvl w:val="1"/>
    </w:pPr>
    <w:rPr>
      <w:rFonts w:ascii="Univers" w:hAnsi="Univers"/>
      <w:b/>
      <w:bCs/>
      <w:sz w:val="24"/>
      <w:szCs w:val="24"/>
    </w:rPr>
  </w:style>
  <w:style w:type="paragraph" w:styleId="Titre5">
    <w:name w:val="heading 5"/>
    <w:basedOn w:val="Normal"/>
    <w:next w:val="Normal"/>
    <w:qFormat/>
    <w:rsid w:val="00C820E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4720E9"/>
    <w:pPr>
      <w:tabs>
        <w:tab w:val="center" w:pos="4819"/>
        <w:tab w:val="right" w:pos="9071"/>
      </w:tabs>
    </w:pPr>
  </w:style>
  <w:style w:type="paragraph" w:styleId="En-tte">
    <w:name w:val="header"/>
    <w:basedOn w:val="Normal"/>
    <w:rsid w:val="004720E9"/>
    <w:pPr>
      <w:tabs>
        <w:tab w:val="center" w:pos="4819"/>
        <w:tab w:val="right" w:pos="9071"/>
      </w:tabs>
    </w:pPr>
  </w:style>
  <w:style w:type="paragraph" w:styleId="Titre">
    <w:name w:val="Title"/>
    <w:basedOn w:val="Normal"/>
    <w:qFormat/>
    <w:rsid w:val="004720E9"/>
    <w:pPr>
      <w:tabs>
        <w:tab w:val="left" w:pos="3261"/>
      </w:tabs>
      <w:ind w:left="2269"/>
      <w:jc w:val="center"/>
    </w:pPr>
    <w:rPr>
      <w:rFonts w:ascii="Univers" w:hAnsi="Univers"/>
      <w:b/>
      <w:bCs/>
      <w:sz w:val="22"/>
      <w:szCs w:val="22"/>
    </w:rPr>
  </w:style>
  <w:style w:type="paragraph" w:styleId="Retraitcorpsdetexte">
    <w:name w:val="Body Text Indent"/>
    <w:basedOn w:val="Normal"/>
    <w:rsid w:val="004720E9"/>
    <w:pPr>
      <w:tabs>
        <w:tab w:val="left" w:pos="3261"/>
      </w:tabs>
      <w:ind w:left="2269"/>
    </w:pPr>
    <w:rPr>
      <w:rFonts w:ascii="Univers" w:hAnsi="Univers"/>
      <w:b/>
      <w:bCs/>
      <w:sz w:val="22"/>
      <w:szCs w:val="22"/>
    </w:rPr>
  </w:style>
  <w:style w:type="paragraph" w:styleId="Corpsdetexte">
    <w:name w:val="Body Text"/>
    <w:basedOn w:val="Normal"/>
    <w:rsid w:val="004720E9"/>
    <w:rPr>
      <w:rFonts w:ascii="Univers" w:hAnsi="Univers"/>
      <w:sz w:val="22"/>
      <w:szCs w:val="22"/>
    </w:rPr>
  </w:style>
  <w:style w:type="paragraph" w:styleId="Retraitcorpsdetexte2">
    <w:name w:val="Body Text Indent 2"/>
    <w:basedOn w:val="Normal"/>
    <w:rsid w:val="004720E9"/>
    <w:pPr>
      <w:ind w:left="2269" w:firstLine="1133"/>
      <w:jc w:val="both"/>
    </w:pPr>
    <w:rPr>
      <w:rFonts w:ascii="Tahoma" w:hAnsi="Tahoma" w:cs="Tahoma"/>
      <w:sz w:val="22"/>
      <w:szCs w:val="22"/>
    </w:rPr>
  </w:style>
  <w:style w:type="paragraph" w:customStyle="1" w:styleId="Paragraphe">
    <w:name w:val="Paragraphe"/>
    <w:basedOn w:val="Normal"/>
    <w:rsid w:val="004720E9"/>
    <w:pPr>
      <w:ind w:firstLine="1276"/>
      <w:jc w:val="both"/>
    </w:pPr>
  </w:style>
  <w:style w:type="paragraph" w:styleId="Textedebulles">
    <w:name w:val="Balloon Text"/>
    <w:basedOn w:val="Normal"/>
    <w:semiHidden/>
    <w:rsid w:val="000F12E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D339C"/>
    <w:tblPr>
      <w:tblInd w:w="0" w:type="dxa"/>
      <w:tblBorders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  <w:insideH w:val="single" w:sz="4" w:space="0" w:color="000080"/>
        <w:insideV w:val="single" w:sz="4" w:space="0" w:color="00008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8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559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ADMINISTRATION GENERALE 05.06.1997</vt:lpstr>
    </vt:vector>
  </TitlesOfParts>
  <Company>Mairie de Riorges</Company>
  <LinksUpToDate>false</LinksUpToDate>
  <CharactersWithSpaces>3660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ADMINISTRATION GENERALE 05.06.1997</dc:title>
  <dc:subject>DECISIONS MUNICIPALES</dc:subject>
  <dc:creator>Secrétariat Général</dc:creator>
  <cp:keywords>Approbation décisions municipales</cp:keywords>
  <cp:lastModifiedBy>marbea</cp:lastModifiedBy>
  <cp:revision>13</cp:revision>
  <cp:lastPrinted>2017-02-27T13:41:00Z</cp:lastPrinted>
  <dcterms:created xsi:type="dcterms:W3CDTF">2017-02-27T12:51:00Z</dcterms:created>
  <dcterms:modified xsi:type="dcterms:W3CDTF">2017-03-03T13:11:00Z</dcterms:modified>
</cp:coreProperties>
</file>