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8E4A7E" w:rsidRDefault="006700E2" w:rsidP="003B2522">
      <w:pPr>
        <w:pStyle w:val="Titre1"/>
        <w:ind w:left="567"/>
        <w:rPr>
          <w:rFonts w:ascii="Arial" w:hAnsi="Arial" w:cs="Arial"/>
          <w:sz w:val="28"/>
          <w:szCs w:val="28"/>
        </w:rPr>
      </w:pPr>
      <w:r w:rsidRPr="008E4A7E">
        <w:rPr>
          <w:rFonts w:ascii="Arial" w:hAnsi="Arial" w:cs="Arial"/>
          <w:sz w:val="28"/>
          <w:szCs w:val="28"/>
        </w:rPr>
        <w:t>Ville de Riorges</w:t>
      </w:r>
    </w:p>
    <w:p w:rsidR="005D0829" w:rsidRDefault="00B32C69"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CD36C5">
        <w:rPr>
          <w:rFonts w:ascii="Arial" w:hAnsi="Arial"/>
        </w:rPr>
        <w:t>19 mai</w:t>
      </w:r>
      <w:r w:rsidR="00085745">
        <w:rPr>
          <w:rFonts w:ascii="Arial" w:hAnsi="Arial"/>
        </w:rPr>
        <w:t xml:space="preserve"> 2016</w:t>
      </w:r>
      <w:r w:rsidR="006700E2">
        <w:rPr>
          <w:rFonts w:ascii="Arial" w:hAnsi="Arial"/>
        </w:rPr>
        <w:tab/>
      </w:r>
      <w:r w:rsidR="00497743">
        <w:rPr>
          <w:rFonts w:ascii="Arial" w:hAnsi="Arial"/>
        </w:rPr>
        <w:t>8.1</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Pr="00F363A9" w:rsidRDefault="008A794C">
      <w:pPr>
        <w:pStyle w:val="Titre2"/>
        <w:jc w:val="right"/>
        <w:rPr>
          <w:rFonts w:ascii="Arial" w:hAnsi="Arial" w:cs="Arial"/>
        </w:rPr>
      </w:pPr>
      <w:r>
        <w:rPr>
          <w:rFonts w:ascii="Arial" w:hAnsi="Arial" w:cs="Arial"/>
        </w:rPr>
        <w:t>PERSONNEL COMMUNAL</w:t>
      </w:r>
    </w:p>
    <w:p w:rsidR="005D0829" w:rsidRDefault="005D0829">
      <w:pPr>
        <w:tabs>
          <w:tab w:val="left" w:pos="3261"/>
        </w:tabs>
        <w:ind w:left="2269"/>
        <w:jc w:val="right"/>
        <w:rPr>
          <w:rFonts w:ascii="Arial" w:hAnsi="Arial"/>
          <w:b/>
          <w:sz w:val="22"/>
        </w:rPr>
      </w:pPr>
    </w:p>
    <w:p w:rsidR="00CD36C5" w:rsidRDefault="00CD7467" w:rsidP="008A794C">
      <w:pPr>
        <w:tabs>
          <w:tab w:val="left" w:pos="1276"/>
          <w:tab w:val="left" w:pos="3261"/>
          <w:tab w:val="left" w:pos="7230"/>
        </w:tabs>
        <w:ind w:left="2269"/>
        <w:jc w:val="right"/>
        <w:rPr>
          <w:rFonts w:ascii="Arial" w:hAnsi="Arial"/>
          <w:b/>
          <w:sz w:val="22"/>
        </w:rPr>
      </w:pPr>
      <w:r>
        <w:rPr>
          <w:rFonts w:ascii="Arial" w:hAnsi="Arial"/>
          <w:b/>
          <w:sz w:val="22"/>
        </w:rPr>
        <w:t>PARTENARIAT DE FORMATION AVEC LE CENTRE NATIONAL DE LA FONCTION PUBLIQUE TERRITORIALE</w:t>
      </w:r>
    </w:p>
    <w:p w:rsidR="004F4C4E" w:rsidRDefault="00CD7467" w:rsidP="008A794C">
      <w:pPr>
        <w:tabs>
          <w:tab w:val="left" w:pos="1276"/>
          <w:tab w:val="left" w:pos="3261"/>
          <w:tab w:val="left" w:pos="7230"/>
        </w:tabs>
        <w:ind w:left="2269"/>
        <w:jc w:val="right"/>
        <w:rPr>
          <w:rFonts w:ascii="Arial" w:hAnsi="Arial"/>
          <w:b/>
          <w:sz w:val="22"/>
        </w:rPr>
      </w:pPr>
      <w:r>
        <w:rPr>
          <w:rFonts w:ascii="Arial" w:hAnsi="Arial"/>
          <w:b/>
          <w:sz w:val="22"/>
        </w:rPr>
        <w:t>CONTRAT DE FORMATION TERRITORIALISEE</w:t>
      </w:r>
    </w:p>
    <w:p w:rsidR="00CD7467" w:rsidRDefault="00CD7467" w:rsidP="008A794C">
      <w:pPr>
        <w:tabs>
          <w:tab w:val="left" w:pos="1276"/>
          <w:tab w:val="left" w:pos="3261"/>
          <w:tab w:val="left" w:pos="7230"/>
        </w:tabs>
        <w:ind w:left="2269"/>
        <w:jc w:val="right"/>
        <w:rPr>
          <w:rFonts w:ascii="Arial" w:hAnsi="Arial"/>
          <w:b/>
          <w:sz w:val="22"/>
        </w:rPr>
      </w:pPr>
      <w:r>
        <w:rPr>
          <w:rFonts w:ascii="Arial" w:hAnsi="Arial"/>
          <w:b/>
          <w:sz w:val="22"/>
        </w:rPr>
        <w:t>APPROBATION</w:t>
      </w:r>
    </w:p>
    <w:p w:rsidR="008A794C" w:rsidRDefault="008A794C" w:rsidP="008A794C">
      <w:pPr>
        <w:ind w:left="1418"/>
        <w:rPr>
          <w:rFonts w:ascii="Arial" w:hAnsi="Arial"/>
          <w:sz w:val="22"/>
        </w:rPr>
      </w:pPr>
    </w:p>
    <w:p w:rsidR="00CD7467" w:rsidRDefault="00CD7467" w:rsidP="008A794C">
      <w:pPr>
        <w:ind w:left="1418"/>
        <w:rPr>
          <w:rFonts w:ascii="Arial" w:hAnsi="Arial"/>
          <w:sz w:val="22"/>
        </w:rPr>
      </w:pPr>
    </w:p>
    <w:p w:rsidR="00B32C69" w:rsidRDefault="00B32C69" w:rsidP="008A794C">
      <w:pPr>
        <w:ind w:left="1418"/>
        <w:rPr>
          <w:rFonts w:ascii="Arial" w:hAnsi="Arial"/>
          <w:sz w:val="22"/>
        </w:rPr>
      </w:pPr>
    </w:p>
    <w:p w:rsidR="00B32C69" w:rsidRDefault="00B32C69" w:rsidP="00824BED">
      <w:pPr>
        <w:ind w:left="1418"/>
        <w:jc w:val="both"/>
        <w:rPr>
          <w:rFonts w:ascii="Arial" w:hAnsi="Arial" w:cs="Arial"/>
          <w:sz w:val="22"/>
          <w:szCs w:val="22"/>
        </w:rPr>
      </w:pPr>
      <w:r>
        <w:rPr>
          <w:rFonts w:ascii="Arial" w:hAnsi="Arial" w:cs="Arial"/>
          <w:sz w:val="22"/>
          <w:szCs w:val="22"/>
        </w:rPr>
        <w:t>Pierre BARNET, conseiller municipal délégué aux finances et au personnel, expose à l'assemblée :</w:t>
      </w:r>
    </w:p>
    <w:p w:rsidR="00CD36C5" w:rsidRDefault="00CD36C5" w:rsidP="008A794C">
      <w:pPr>
        <w:ind w:left="1418"/>
        <w:rPr>
          <w:rFonts w:ascii="Arial" w:hAnsi="Arial"/>
          <w:sz w:val="22"/>
        </w:rPr>
      </w:pPr>
    </w:p>
    <w:p w:rsidR="00CD7467" w:rsidRPr="00462213" w:rsidRDefault="002D024A" w:rsidP="00CD7467">
      <w:pPr>
        <w:ind w:left="1418"/>
        <w:jc w:val="both"/>
        <w:rPr>
          <w:rFonts w:ascii="Arial" w:hAnsi="Arial" w:cs="Arial"/>
          <w:sz w:val="22"/>
          <w:szCs w:val="22"/>
        </w:rPr>
      </w:pPr>
      <w:r>
        <w:rPr>
          <w:rFonts w:ascii="Arial" w:hAnsi="Arial" w:cs="Arial"/>
          <w:b/>
          <w:sz w:val="22"/>
          <w:szCs w:val="22"/>
        </w:rPr>
        <w:t>"</w:t>
      </w:r>
      <w:r w:rsidR="00CD7467" w:rsidRPr="00462213">
        <w:rPr>
          <w:rFonts w:ascii="Arial" w:hAnsi="Arial" w:cs="Arial"/>
          <w:sz w:val="22"/>
          <w:szCs w:val="22"/>
        </w:rPr>
        <w:t>Depuis 2010 a été mis en place, sur proposition des DRH et des DGS de la communauté d’agglomération et de ses communes membres (Roanne, Mably, Riorges, Le Coteau, Commelle- Vernay, Villerest), ainsi que de Roannaise de l’Eau, un partenariat visant à mettre en œuvre avec le CNFPT</w:t>
      </w:r>
      <w:r w:rsidR="00CD7467">
        <w:rPr>
          <w:rFonts w:ascii="Arial" w:hAnsi="Arial" w:cs="Arial"/>
          <w:sz w:val="22"/>
          <w:szCs w:val="22"/>
        </w:rPr>
        <w:t>,</w:t>
      </w:r>
      <w:r w:rsidR="00CD7467" w:rsidRPr="00462213">
        <w:rPr>
          <w:rFonts w:ascii="Arial" w:hAnsi="Arial" w:cs="Arial"/>
          <w:sz w:val="22"/>
          <w:szCs w:val="22"/>
        </w:rPr>
        <w:t xml:space="preserve"> un plan de formation commun aux 7 entités partie</w:t>
      </w:r>
      <w:r w:rsidR="00CD7467">
        <w:rPr>
          <w:rFonts w:ascii="Arial" w:hAnsi="Arial" w:cs="Arial"/>
          <w:sz w:val="22"/>
          <w:szCs w:val="22"/>
        </w:rPr>
        <w:t>s</w:t>
      </w:r>
      <w:r w:rsidR="00CD7467" w:rsidRPr="00462213">
        <w:rPr>
          <w:rFonts w:ascii="Arial" w:hAnsi="Arial" w:cs="Arial"/>
          <w:sz w:val="22"/>
          <w:szCs w:val="22"/>
        </w:rPr>
        <w:t xml:space="preserve"> prenante</w:t>
      </w:r>
      <w:r w:rsidR="00CD7467">
        <w:rPr>
          <w:rFonts w:ascii="Arial" w:hAnsi="Arial" w:cs="Arial"/>
          <w:sz w:val="22"/>
          <w:szCs w:val="22"/>
        </w:rPr>
        <w:t>s</w:t>
      </w:r>
      <w:r w:rsidR="00CD7467" w:rsidRPr="00462213">
        <w:rPr>
          <w:rFonts w:ascii="Arial" w:hAnsi="Arial" w:cs="Arial"/>
          <w:sz w:val="22"/>
          <w:szCs w:val="22"/>
        </w:rPr>
        <w:t>.</w:t>
      </w:r>
    </w:p>
    <w:p w:rsidR="00CD7467" w:rsidRPr="00462213" w:rsidRDefault="00CD7467" w:rsidP="00CD7467">
      <w:pPr>
        <w:ind w:left="1418"/>
        <w:jc w:val="both"/>
        <w:rPr>
          <w:rFonts w:ascii="Arial" w:hAnsi="Arial" w:cs="Arial"/>
          <w:sz w:val="22"/>
          <w:szCs w:val="22"/>
        </w:rPr>
      </w:pPr>
    </w:p>
    <w:p w:rsidR="00CD7467" w:rsidRPr="00462213" w:rsidRDefault="00CD7467" w:rsidP="00CD7467">
      <w:pPr>
        <w:ind w:left="1418"/>
        <w:jc w:val="both"/>
        <w:rPr>
          <w:rFonts w:ascii="Arial" w:hAnsi="Arial" w:cs="Arial"/>
          <w:sz w:val="22"/>
          <w:szCs w:val="22"/>
        </w:rPr>
      </w:pPr>
      <w:r w:rsidRPr="00462213">
        <w:rPr>
          <w:rFonts w:ascii="Arial" w:hAnsi="Arial" w:cs="Arial"/>
          <w:sz w:val="22"/>
          <w:szCs w:val="22"/>
        </w:rPr>
        <w:t>Tout en conservant les politiques de formation propres à chaque entité, il s’est agi de définir un tronc commun de formation pour les 7 entités, élaboré à partir des besoins et priorités recensés par chacun.</w:t>
      </w:r>
    </w:p>
    <w:p w:rsidR="00CD7467" w:rsidRPr="00462213" w:rsidRDefault="00CD7467" w:rsidP="00CD7467">
      <w:pPr>
        <w:ind w:left="1418"/>
        <w:jc w:val="both"/>
        <w:rPr>
          <w:rFonts w:ascii="Arial" w:hAnsi="Arial" w:cs="Arial"/>
          <w:sz w:val="22"/>
          <w:szCs w:val="22"/>
        </w:rPr>
      </w:pPr>
    </w:p>
    <w:p w:rsidR="00CD7467" w:rsidRPr="00462213" w:rsidRDefault="00CD7467" w:rsidP="00CD7467">
      <w:pPr>
        <w:ind w:left="1418"/>
        <w:jc w:val="both"/>
        <w:rPr>
          <w:rFonts w:ascii="Arial" w:hAnsi="Arial" w:cs="Arial"/>
          <w:sz w:val="22"/>
          <w:szCs w:val="22"/>
        </w:rPr>
      </w:pPr>
      <w:r w:rsidRPr="00462213">
        <w:rPr>
          <w:rFonts w:ascii="Arial" w:hAnsi="Arial" w:cs="Arial"/>
          <w:sz w:val="22"/>
          <w:szCs w:val="22"/>
        </w:rPr>
        <w:t xml:space="preserve">Devant les résultats positifs (délocalisation d’actions de formation sur Roanne, accès facilité pour le personnel notamment de catégorie C, formations sur mesure, développement d’une culture commune entre territoriaux roannais, réduction des coûts pédagogiques et des déplacements), </w:t>
      </w:r>
      <w:r>
        <w:rPr>
          <w:rFonts w:ascii="Arial" w:hAnsi="Arial" w:cs="Arial"/>
          <w:sz w:val="22"/>
          <w:szCs w:val="22"/>
        </w:rPr>
        <w:t>il est proposé</w:t>
      </w:r>
      <w:r w:rsidRPr="00462213">
        <w:rPr>
          <w:rFonts w:ascii="Arial" w:hAnsi="Arial" w:cs="Arial"/>
          <w:sz w:val="22"/>
          <w:szCs w:val="22"/>
        </w:rPr>
        <w:t xml:space="preserve"> de prolonger la démarche.</w:t>
      </w:r>
    </w:p>
    <w:p w:rsidR="00CD7467" w:rsidRPr="00462213" w:rsidRDefault="00CD7467" w:rsidP="00CD7467">
      <w:pPr>
        <w:ind w:left="1418"/>
        <w:jc w:val="both"/>
        <w:rPr>
          <w:rFonts w:ascii="Arial" w:hAnsi="Arial" w:cs="Arial"/>
          <w:sz w:val="22"/>
          <w:szCs w:val="22"/>
        </w:rPr>
      </w:pPr>
    </w:p>
    <w:p w:rsidR="00CD7467" w:rsidRDefault="00CD7467" w:rsidP="00CD7467">
      <w:pPr>
        <w:ind w:left="1418"/>
        <w:jc w:val="both"/>
        <w:rPr>
          <w:rFonts w:ascii="Arial" w:hAnsi="Arial" w:cs="Arial"/>
          <w:sz w:val="22"/>
          <w:szCs w:val="22"/>
        </w:rPr>
      </w:pPr>
      <w:r w:rsidRPr="00462213">
        <w:rPr>
          <w:rFonts w:ascii="Arial" w:hAnsi="Arial" w:cs="Arial"/>
          <w:sz w:val="22"/>
          <w:szCs w:val="22"/>
        </w:rPr>
        <w:t xml:space="preserve">Indépendamment de toute logique de mutualisation des DRH, ce dispositif de management partagé de certaines actions de formation repose sur </w:t>
      </w:r>
      <w:r>
        <w:rPr>
          <w:rFonts w:ascii="Arial" w:hAnsi="Arial" w:cs="Arial"/>
          <w:sz w:val="22"/>
          <w:szCs w:val="22"/>
        </w:rPr>
        <w:t>quatre</w:t>
      </w:r>
      <w:r w:rsidRPr="00462213">
        <w:rPr>
          <w:rFonts w:ascii="Arial" w:hAnsi="Arial" w:cs="Arial"/>
          <w:sz w:val="22"/>
          <w:szCs w:val="22"/>
        </w:rPr>
        <w:t xml:space="preserve"> outils :</w:t>
      </w:r>
    </w:p>
    <w:p w:rsidR="00CD7467" w:rsidRPr="00462213" w:rsidRDefault="00CD7467" w:rsidP="00CD7467">
      <w:pPr>
        <w:pStyle w:val="Paragraphedeliste"/>
        <w:numPr>
          <w:ilvl w:val="0"/>
          <w:numId w:val="8"/>
        </w:numPr>
        <w:tabs>
          <w:tab w:val="left" w:pos="1701"/>
        </w:tabs>
        <w:suppressAutoHyphens w:val="0"/>
        <w:spacing w:before="80" w:after="0" w:line="240" w:lineRule="auto"/>
        <w:ind w:left="1701" w:hanging="283"/>
        <w:contextualSpacing w:val="0"/>
        <w:jc w:val="both"/>
        <w:rPr>
          <w:rFonts w:ascii="Arial" w:hAnsi="Arial" w:cs="Arial"/>
          <w:sz w:val="22"/>
          <w:szCs w:val="22"/>
        </w:rPr>
      </w:pPr>
      <w:r>
        <w:rPr>
          <w:rFonts w:ascii="Arial" w:hAnsi="Arial" w:cs="Arial"/>
          <w:sz w:val="22"/>
          <w:szCs w:val="22"/>
        </w:rPr>
        <w:t>u</w:t>
      </w:r>
      <w:r w:rsidRPr="00462213">
        <w:rPr>
          <w:rFonts w:ascii="Arial" w:hAnsi="Arial" w:cs="Arial"/>
          <w:sz w:val="22"/>
          <w:szCs w:val="22"/>
        </w:rPr>
        <w:t>n partenariat avec le CNFPT : la convention précise les modalités d’intervention du CNFPT sur le territoire au titre des plans d’actions définis</w:t>
      </w:r>
      <w:r>
        <w:rPr>
          <w:rFonts w:ascii="Arial" w:hAnsi="Arial" w:cs="Arial"/>
          <w:sz w:val="22"/>
          <w:szCs w:val="22"/>
        </w:rPr>
        <w:t xml:space="preserve"> ;</w:t>
      </w:r>
      <w:r w:rsidRPr="00462213">
        <w:rPr>
          <w:rFonts w:ascii="Arial" w:hAnsi="Arial" w:cs="Arial"/>
          <w:sz w:val="22"/>
          <w:szCs w:val="22"/>
        </w:rPr>
        <w:t xml:space="preserve"> </w:t>
      </w:r>
      <w:r>
        <w:rPr>
          <w:rFonts w:ascii="Arial" w:hAnsi="Arial" w:cs="Arial"/>
          <w:sz w:val="22"/>
          <w:szCs w:val="22"/>
        </w:rPr>
        <w:t xml:space="preserve">la commune a </w:t>
      </w:r>
      <w:r w:rsidRPr="00462213">
        <w:rPr>
          <w:rFonts w:ascii="Arial" w:hAnsi="Arial" w:cs="Arial"/>
          <w:sz w:val="22"/>
          <w:szCs w:val="22"/>
        </w:rPr>
        <w:t>ainsi pu bénéficier d’un nombre croissant de jours de format</w:t>
      </w:r>
      <w:r>
        <w:rPr>
          <w:rFonts w:ascii="Arial" w:hAnsi="Arial" w:cs="Arial"/>
          <w:sz w:val="22"/>
          <w:szCs w:val="22"/>
        </w:rPr>
        <w:t>ion pris en charge par le CNFPT ;</w:t>
      </w:r>
    </w:p>
    <w:p w:rsidR="00CD7467" w:rsidRPr="00462213" w:rsidRDefault="00CD7467" w:rsidP="00CD7467">
      <w:pPr>
        <w:pStyle w:val="Paragraphedeliste"/>
        <w:numPr>
          <w:ilvl w:val="0"/>
          <w:numId w:val="8"/>
        </w:numPr>
        <w:suppressAutoHyphens w:val="0"/>
        <w:spacing w:before="80" w:after="0" w:line="240" w:lineRule="auto"/>
        <w:ind w:left="1702" w:hanging="284"/>
        <w:contextualSpacing w:val="0"/>
        <w:jc w:val="both"/>
        <w:rPr>
          <w:rFonts w:ascii="Arial" w:hAnsi="Arial" w:cs="Arial"/>
          <w:sz w:val="22"/>
          <w:szCs w:val="22"/>
        </w:rPr>
      </w:pPr>
      <w:r>
        <w:rPr>
          <w:rFonts w:ascii="Arial" w:hAnsi="Arial" w:cs="Arial"/>
          <w:sz w:val="22"/>
          <w:szCs w:val="22"/>
        </w:rPr>
        <w:t>u</w:t>
      </w:r>
      <w:r w:rsidRPr="00462213">
        <w:rPr>
          <w:rFonts w:ascii="Arial" w:hAnsi="Arial" w:cs="Arial"/>
          <w:sz w:val="22"/>
          <w:szCs w:val="22"/>
        </w:rPr>
        <w:t xml:space="preserve">n groupement de commandes : Roannais Agglomération porte ce groupement pour les formations que le CNFPT ne prend pas en charge (il s’agit de bénéficier de tarifs préférentiels sur les </w:t>
      </w:r>
      <w:r>
        <w:rPr>
          <w:rFonts w:ascii="Arial" w:hAnsi="Arial" w:cs="Arial"/>
          <w:sz w:val="22"/>
          <w:szCs w:val="22"/>
        </w:rPr>
        <w:t>formations sécurité notamment –</w:t>
      </w:r>
      <w:r w:rsidRPr="00462213">
        <w:rPr>
          <w:rFonts w:ascii="Arial" w:hAnsi="Arial" w:cs="Arial"/>
          <w:sz w:val="22"/>
          <w:szCs w:val="22"/>
        </w:rPr>
        <w:t>CACES</w:t>
      </w:r>
      <w:r>
        <w:rPr>
          <w:rFonts w:ascii="Arial" w:hAnsi="Arial" w:cs="Arial"/>
          <w:sz w:val="22"/>
          <w:szCs w:val="22"/>
        </w:rPr>
        <w:t>–</w:t>
      </w:r>
      <w:r w:rsidRPr="00462213">
        <w:rPr>
          <w:rFonts w:ascii="Arial" w:hAnsi="Arial" w:cs="Arial"/>
          <w:sz w:val="22"/>
          <w:szCs w:val="22"/>
        </w:rPr>
        <w:t xml:space="preserve"> ou autorisations de conduite PL)</w:t>
      </w:r>
      <w:r>
        <w:rPr>
          <w:rFonts w:ascii="Arial" w:hAnsi="Arial" w:cs="Arial"/>
          <w:sz w:val="22"/>
          <w:szCs w:val="22"/>
        </w:rPr>
        <w:t xml:space="preserve"> ;</w:t>
      </w:r>
    </w:p>
    <w:p w:rsidR="00CD7467" w:rsidRPr="00462213" w:rsidRDefault="00CD7467" w:rsidP="00CD7467">
      <w:pPr>
        <w:pStyle w:val="Paragraphedeliste"/>
        <w:numPr>
          <w:ilvl w:val="0"/>
          <w:numId w:val="8"/>
        </w:numPr>
        <w:suppressAutoHyphens w:val="0"/>
        <w:spacing w:before="80" w:after="0" w:line="240" w:lineRule="auto"/>
        <w:ind w:left="1702" w:hanging="284"/>
        <w:contextualSpacing w:val="0"/>
        <w:jc w:val="both"/>
        <w:rPr>
          <w:rFonts w:ascii="Arial" w:hAnsi="Arial" w:cs="Arial"/>
          <w:sz w:val="22"/>
          <w:szCs w:val="22"/>
        </w:rPr>
      </w:pPr>
      <w:r>
        <w:rPr>
          <w:rFonts w:ascii="Arial" w:hAnsi="Arial" w:cs="Arial"/>
          <w:sz w:val="22"/>
          <w:szCs w:val="22"/>
        </w:rPr>
        <w:t>u</w:t>
      </w:r>
      <w:r w:rsidRPr="00462213">
        <w:rPr>
          <w:rFonts w:ascii="Arial" w:hAnsi="Arial" w:cs="Arial"/>
          <w:sz w:val="22"/>
          <w:szCs w:val="22"/>
        </w:rPr>
        <w:t>ne convention de prestation</w:t>
      </w:r>
      <w:r>
        <w:rPr>
          <w:rFonts w:ascii="Arial" w:hAnsi="Arial" w:cs="Arial"/>
          <w:sz w:val="22"/>
          <w:szCs w:val="22"/>
        </w:rPr>
        <w:t>s</w:t>
      </w:r>
      <w:r w:rsidRPr="00462213">
        <w:rPr>
          <w:rFonts w:ascii="Arial" w:hAnsi="Arial" w:cs="Arial"/>
          <w:sz w:val="22"/>
          <w:szCs w:val="22"/>
        </w:rPr>
        <w:t xml:space="preserve"> de service : Roannais Agglomération gère toute la logistique inhérente à ce dispositif moyennant une participation de chaque entité pour tout agent insc</w:t>
      </w:r>
      <w:r>
        <w:rPr>
          <w:rFonts w:ascii="Arial" w:hAnsi="Arial" w:cs="Arial"/>
          <w:sz w:val="22"/>
          <w:szCs w:val="22"/>
        </w:rPr>
        <w:t>rit sur l’une de ces formations ;</w:t>
      </w:r>
      <w:r w:rsidRPr="00462213">
        <w:rPr>
          <w:rFonts w:ascii="Arial" w:hAnsi="Arial" w:cs="Arial"/>
          <w:sz w:val="22"/>
          <w:szCs w:val="22"/>
        </w:rPr>
        <w:t xml:space="preserve"> Roannais Agglomération a positionné un agent à 0</w:t>
      </w:r>
      <w:r>
        <w:rPr>
          <w:rFonts w:ascii="Arial" w:hAnsi="Arial" w:cs="Arial"/>
          <w:sz w:val="22"/>
          <w:szCs w:val="22"/>
        </w:rPr>
        <w:t>,</w:t>
      </w:r>
      <w:r w:rsidRPr="00462213">
        <w:rPr>
          <w:rFonts w:ascii="Arial" w:hAnsi="Arial" w:cs="Arial"/>
          <w:sz w:val="22"/>
          <w:szCs w:val="22"/>
        </w:rPr>
        <w:t>8 ETP sur cette fonction, le poste s</w:t>
      </w:r>
      <w:r>
        <w:rPr>
          <w:rFonts w:ascii="Arial" w:hAnsi="Arial" w:cs="Arial"/>
          <w:sz w:val="22"/>
          <w:szCs w:val="22"/>
        </w:rPr>
        <w:t>’</w:t>
      </w:r>
      <w:r w:rsidR="002672A8">
        <w:rPr>
          <w:rFonts w:ascii="Arial" w:hAnsi="Arial" w:cs="Arial"/>
          <w:sz w:val="22"/>
          <w:szCs w:val="22"/>
        </w:rPr>
        <w:t>autofinance</w:t>
      </w:r>
      <w:r>
        <w:rPr>
          <w:rFonts w:ascii="Arial" w:hAnsi="Arial" w:cs="Arial"/>
          <w:sz w:val="22"/>
          <w:szCs w:val="22"/>
        </w:rPr>
        <w:t xml:space="preserve"> en majeure partie ;</w:t>
      </w:r>
    </w:p>
    <w:p w:rsidR="00CD7467" w:rsidRPr="00462213" w:rsidRDefault="00CD7467" w:rsidP="00CD7467">
      <w:pPr>
        <w:pStyle w:val="Paragraphedeliste"/>
        <w:numPr>
          <w:ilvl w:val="0"/>
          <w:numId w:val="8"/>
        </w:numPr>
        <w:suppressAutoHyphens w:val="0"/>
        <w:spacing w:before="80" w:after="0" w:line="240" w:lineRule="auto"/>
        <w:ind w:left="1702" w:hanging="284"/>
        <w:contextualSpacing w:val="0"/>
        <w:jc w:val="both"/>
        <w:rPr>
          <w:rFonts w:ascii="Arial" w:hAnsi="Arial" w:cs="Arial"/>
          <w:sz w:val="22"/>
          <w:szCs w:val="22"/>
        </w:rPr>
      </w:pPr>
      <w:r>
        <w:rPr>
          <w:rFonts w:ascii="Arial" w:hAnsi="Arial" w:cs="Arial"/>
          <w:sz w:val="22"/>
          <w:szCs w:val="22"/>
        </w:rPr>
        <w:t>une f</w:t>
      </w:r>
      <w:r w:rsidRPr="00462213">
        <w:rPr>
          <w:rFonts w:ascii="Arial" w:hAnsi="Arial" w:cs="Arial"/>
          <w:sz w:val="22"/>
          <w:szCs w:val="22"/>
        </w:rPr>
        <w:t xml:space="preserve">ormation de formateurs internes (aujourd’hui, sur la thématique sauveteur secouriste du travail </w:t>
      </w:r>
      <w:r>
        <w:rPr>
          <w:rFonts w:ascii="Arial" w:hAnsi="Arial" w:cs="Arial"/>
          <w:sz w:val="22"/>
          <w:szCs w:val="22"/>
        </w:rPr>
        <w:t xml:space="preserve">; </w:t>
      </w:r>
      <w:r w:rsidRPr="00462213">
        <w:rPr>
          <w:rFonts w:ascii="Arial" w:hAnsi="Arial" w:cs="Arial"/>
          <w:sz w:val="22"/>
          <w:szCs w:val="22"/>
        </w:rPr>
        <w:t>demain sur d’autres sujets tels que bureautique par exemple)</w:t>
      </w:r>
      <w:r>
        <w:rPr>
          <w:rFonts w:ascii="Arial" w:hAnsi="Arial" w:cs="Arial"/>
          <w:sz w:val="22"/>
          <w:szCs w:val="22"/>
        </w:rPr>
        <w:t>.</w:t>
      </w:r>
    </w:p>
    <w:p w:rsidR="00CD7467" w:rsidRPr="00462213" w:rsidRDefault="00CD7467" w:rsidP="00CD7467">
      <w:pPr>
        <w:ind w:left="1418"/>
        <w:jc w:val="both"/>
        <w:rPr>
          <w:rFonts w:ascii="Arial" w:hAnsi="Arial" w:cs="Arial"/>
          <w:sz w:val="22"/>
          <w:szCs w:val="22"/>
        </w:rPr>
      </w:pPr>
    </w:p>
    <w:p w:rsidR="00CD7467" w:rsidRPr="00462213" w:rsidRDefault="00CD7467" w:rsidP="00CD7467">
      <w:pPr>
        <w:ind w:left="1418"/>
        <w:jc w:val="both"/>
        <w:rPr>
          <w:rFonts w:ascii="Arial" w:hAnsi="Arial" w:cs="Arial"/>
          <w:sz w:val="22"/>
          <w:szCs w:val="22"/>
        </w:rPr>
      </w:pPr>
      <w:r>
        <w:rPr>
          <w:rFonts w:ascii="Arial" w:hAnsi="Arial" w:cs="Arial"/>
          <w:sz w:val="22"/>
          <w:szCs w:val="22"/>
        </w:rPr>
        <w:t>Le présent projet de formation tient</w:t>
      </w:r>
      <w:r w:rsidRPr="00462213">
        <w:rPr>
          <w:rFonts w:ascii="Arial" w:hAnsi="Arial" w:cs="Arial"/>
          <w:sz w:val="22"/>
          <w:szCs w:val="22"/>
        </w:rPr>
        <w:t xml:space="preserve"> compte des changements majeurs qui vont intervenir dans les prochaines années en lien avec :</w:t>
      </w:r>
    </w:p>
    <w:p w:rsidR="00CD7467" w:rsidRDefault="00CD7467" w:rsidP="00CD7467">
      <w:pPr>
        <w:pStyle w:val="Paragraphedeliste"/>
        <w:numPr>
          <w:ilvl w:val="0"/>
          <w:numId w:val="8"/>
        </w:numPr>
        <w:suppressAutoHyphens w:val="0"/>
        <w:spacing w:before="80" w:after="0" w:line="240" w:lineRule="auto"/>
        <w:ind w:left="1702" w:hanging="284"/>
        <w:contextualSpacing w:val="0"/>
        <w:jc w:val="both"/>
        <w:rPr>
          <w:rFonts w:ascii="Arial" w:hAnsi="Arial" w:cs="Arial"/>
          <w:sz w:val="22"/>
          <w:szCs w:val="22"/>
        </w:rPr>
      </w:pPr>
      <w:r w:rsidRPr="00462213">
        <w:rPr>
          <w:rFonts w:ascii="Arial" w:hAnsi="Arial" w:cs="Arial"/>
          <w:sz w:val="22"/>
          <w:szCs w:val="22"/>
        </w:rPr>
        <w:t>les évolutions territoriales conduisant à de nouvelles organisations dans les services publics du territoire, sur fond d’une logique supra-communale</w:t>
      </w:r>
      <w:r>
        <w:rPr>
          <w:rFonts w:ascii="Arial" w:hAnsi="Arial" w:cs="Arial"/>
          <w:sz w:val="22"/>
          <w:szCs w:val="22"/>
        </w:rPr>
        <w:t xml:space="preserve"> ;</w:t>
      </w:r>
    </w:p>
    <w:p w:rsidR="00CD7467" w:rsidRDefault="00CD7467" w:rsidP="00CD7467">
      <w:pPr>
        <w:spacing w:before="80"/>
        <w:jc w:val="both"/>
        <w:rPr>
          <w:rFonts w:ascii="Arial" w:hAnsi="Arial" w:cs="Arial"/>
          <w:sz w:val="22"/>
          <w:szCs w:val="22"/>
        </w:rPr>
      </w:pPr>
    </w:p>
    <w:p w:rsidR="00CD7467" w:rsidRPr="00CD7467" w:rsidRDefault="00CD7467" w:rsidP="00CD7467">
      <w:pPr>
        <w:spacing w:before="80"/>
        <w:jc w:val="both"/>
        <w:rPr>
          <w:rFonts w:ascii="Arial" w:hAnsi="Arial" w:cs="Arial"/>
          <w:sz w:val="22"/>
          <w:szCs w:val="22"/>
        </w:rPr>
      </w:pPr>
    </w:p>
    <w:p w:rsidR="00CD7467" w:rsidRPr="00462213" w:rsidRDefault="00CD7467" w:rsidP="00CD7467">
      <w:pPr>
        <w:pStyle w:val="Paragraphedeliste"/>
        <w:numPr>
          <w:ilvl w:val="0"/>
          <w:numId w:val="8"/>
        </w:numPr>
        <w:suppressAutoHyphens w:val="0"/>
        <w:spacing w:before="80" w:after="0" w:line="240" w:lineRule="auto"/>
        <w:ind w:left="1702" w:hanging="284"/>
        <w:contextualSpacing w:val="0"/>
        <w:jc w:val="both"/>
        <w:rPr>
          <w:rFonts w:ascii="Arial" w:hAnsi="Arial" w:cs="Arial"/>
          <w:sz w:val="22"/>
          <w:szCs w:val="22"/>
        </w:rPr>
      </w:pPr>
      <w:r>
        <w:rPr>
          <w:rFonts w:ascii="Arial" w:hAnsi="Arial" w:cs="Arial"/>
          <w:sz w:val="22"/>
          <w:szCs w:val="22"/>
        </w:rPr>
        <w:t>l</w:t>
      </w:r>
      <w:r w:rsidRPr="00462213">
        <w:rPr>
          <w:rFonts w:ascii="Arial" w:hAnsi="Arial" w:cs="Arial"/>
          <w:sz w:val="22"/>
          <w:szCs w:val="22"/>
        </w:rPr>
        <w:t>es évolutions technologiques (transition numérique, et impacts forts sur les métiers)</w:t>
      </w:r>
      <w:r>
        <w:rPr>
          <w:rFonts w:ascii="Arial" w:hAnsi="Arial" w:cs="Arial"/>
          <w:sz w:val="22"/>
          <w:szCs w:val="22"/>
        </w:rPr>
        <w:t xml:space="preserve"> ;</w:t>
      </w:r>
    </w:p>
    <w:p w:rsidR="00CD7467" w:rsidRPr="00462213" w:rsidRDefault="00CD7467" w:rsidP="00CD7467">
      <w:pPr>
        <w:pStyle w:val="Paragraphedeliste"/>
        <w:numPr>
          <w:ilvl w:val="0"/>
          <w:numId w:val="8"/>
        </w:numPr>
        <w:suppressAutoHyphens w:val="0"/>
        <w:spacing w:before="80" w:after="0" w:line="240" w:lineRule="auto"/>
        <w:ind w:left="1702" w:hanging="284"/>
        <w:contextualSpacing w:val="0"/>
        <w:jc w:val="both"/>
        <w:rPr>
          <w:rFonts w:ascii="Arial" w:hAnsi="Arial" w:cs="Arial"/>
          <w:sz w:val="22"/>
          <w:szCs w:val="22"/>
        </w:rPr>
      </w:pPr>
      <w:r>
        <w:rPr>
          <w:rFonts w:ascii="Arial" w:hAnsi="Arial" w:cs="Arial"/>
          <w:sz w:val="22"/>
          <w:szCs w:val="22"/>
        </w:rPr>
        <w:t>l</w:t>
      </w:r>
      <w:r w:rsidRPr="00462213">
        <w:rPr>
          <w:rFonts w:ascii="Arial" w:hAnsi="Arial" w:cs="Arial"/>
          <w:sz w:val="22"/>
          <w:szCs w:val="22"/>
        </w:rPr>
        <w:t>e contexte budgétaire de plus en plus contraint qui impose une nouvelle gestion des ressources, humaines en particulier.</w:t>
      </w:r>
    </w:p>
    <w:p w:rsidR="00CD7467" w:rsidRPr="00462213" w:rsidRDefault="00CD7467" w:rsidP="00CD7467">
      <w:pPr>
        <w:pStyle w:val="Paragraphedeliste"/>
        <w:spacing w:after="0" w:line="240" w:lineRule="auto"/>
        <w:ind w:left="1418"/>
        <w:contextualSpacing w:val="0"/>
        <w:jc w:val="both"/>
        <w:rPr>
          <w:rFonts w:ascii="Arial" w:hAnsi="Arial" w:cs="Arial"/>
          <w:sz w:val="22"/>
          <w:szCs w:val="22"/>
        </w:rPr>
      </w:pPr>
    </w:p>
    <w:p w:rsidR="00CD7467" w:rsidRPr="00462213" w:rsidRDefault="00CD7467" w:rsidP="00CD7467">
      <w:pPr>
        <w:ind w:left="1418"/>
        <w:jc w:val="both"/>
        <w:rPr>
          <w:rFonts w:ascii="Arial" w:hAnsi="Arial" w:cs="Arial"/>
          <w:sz w:val="22"/>
          <w:szCs w:val="22"/>
        </w:rPr>
      </w:pPr>
      <w:r w:rsidRPr="00462213">
        <w:rPr>
          <w:rFonts w:ascii="Arial" w:hAnsi="Arial" w:cs="Arial"/>
          <w:sz w:val="22"/>
          <w:szCs w:val="22"/>
        </w:rPr>
        <w:t xml:space="preserve">Ce projet articulé autour de </w:t>
      </w:r>
      <w:r>
        <w:rPr>
          <w:rFonts w:ascii="Arial" w:hAnsi="Arial" w:cs="Arial"/>
          <w:sz w:val="22"/>
          <w:szCs w:val="22"/>
        </w:rPr>
        <w:t>quatre</w:t>
      </w:r>
      <w:r w:rsidRPr="00462213">
        <w:rPr>
          <w:rFonts w:ascii="Arial" w:hAnsi="Arial" w:cs="Arial"/>
          <w:sz w:val="22"/>
          <w:szCs w:val="22"/>
        </w:rPr>
        <w:t xml:space="preserve"> axes se présente comme suit et se déclinera progressivement sur </w:t>
      </w:r>
      <w:r>
        <w:rPr>
          <w:rFonts w:ascii="Arial" w:hAnsi="Arial" w:cs="Arial"/>
          <w:sz w:val="22"/>
          <w:szCs w:val="22"/>
        </w:rPr>
        <w:t>trois</w:t>
      </w:r>
      <w:r w:rsidRPr="00462213">
        <w:rPr>
          <w:rFonts w:ascii="Arial" w:hAnsi="Arial" w:cs="Arial"/>
          <w:sz w:val="22"/>
          <w:szCs w:val="22"/>
        </w:rPr>
        <w:t xml:space="preserve"> ans:</w:t>
      </w:r>
    </w:p>
    <w:p w:rsidR="00CD7467" w:rsidRPr="00462213" w:rsidRDefault="00CD7467" w:rsidP="00CD7467">
      <w:pPr>
        <w:ind w:left="1418"/>
        <w:jc w:val="both"/>
        <w:rPr>
          <w:rFonts w:ascii="Arial" w:hAnsi="Arial" w:cs="Arial"/>
          <w:sz w:val="22"/>
          <w:szCs w:val="22"/>
        </w:rPr>
      </w:pPr>
    </w:p>
    <w:p w:rsidR="00CD7467" w:rsidRPr="00CD7467" w:rsidRDefault="00CD7467" w:rsidP="00CD7467">
      <w:pPr>
        <w:widowControl w:val="0"/>
        <w:ind w:left="1418"/>
        <w:jc w:val="both"/>
        <w:rPr>
          <w:rFonts w:ascii="Arial" w:hAnsi="Arial" w:cs="Arial"/>
          <w:b/>
          <w:sz w:val="22"/>
          <w:szCs w:val="22"/>
        </w:rPr>
      </w:pPr>
      <w:r w:rsidRPr="00CD7467">
        <w:rPr>
          <w:rFonts w:ascii="Arial" w:hAnsi="Arial" w:cs="Arial"/>
          <w:b/>
          <w:sz w:val="22"/>
          <w:szCs w:val="22"/>
        </w:rPr>
        <w:t>Axe 1 : Manager le changement</w:t>
      </w:r>
    </w:p>
    <w:p w:rsidR="00CD7467" w:rsidRDefault="00CD7467" w:rsidP="00CD7467">
      <w:pPr>
        <w:widowControl w:val="0"/>
        <w:ind w:left="1418"/>
        <w:jc w:val="both"/>
        <w:rPr>
          <w:rFonts w:ascii="Arial" w:hAnsi="Arial" w:cs="Arial"/>
          <w:sz w:val="22"/>
          <w:szCs w:val="22"/>
        </w:rPr>
      </w:pPr>
    </w:p>
    <w:tbl>
      <w:tblPr>
        <w:tblStyle w:val="Grilledutableau"/>
        <w:tblW w:w="0" w:type="auto"/>
        <w:tblInd w:w="1526" w:type="dxa"/>
        <w:tblLook w:val="04A0"/>
      </w:tblPr>
      <w:tblGrid>
        <w:gridCol w:w="4183"/>
        <w:gridCol w:w="4146"/>
      </w:tblGrid>
      <w:tr w:rsidR="00CD7467" w:rsidTr="00CD7467">
        <w:tc>
          <w:tcPr>
            <w:tcW w:w="4183" w:type="dxa"/>
          </w:tcPr>
          <w:p w:rsidR="00CD7467" w:rsidRDefault="00CD7467" w:rsidP="00CD7467">
            <w:pPr>
              <w:widowControl w:val="0"/>
              <w:spacing w:before="20" w:after="20"/>
              <w:jc w:val="center"/>
              <w:rPr>
                <w:rFonts w:ascii="Arial" w:hAnsi="Arial" w:cs="Arial"/>
                <w:sz w:val="22"/>
                <w:szCs w:val="22"/>
              </w:rPr>
            </w:pPr>
            <w:r w:rsidRPr="00CD7467">
              <w:rPr>
                <w:rFonts w:ascii="Arial" w:hAnsi="Arial" w:cs="Arial"/>
                <w:b/>
              </w:rPr>
              <w:t>Objectifs</w:t>
            </w:r>
          </w:p>
        </w:tc>
        <w:tc>
          <w:tcPr>
            <w:tcW w:w="4146" w:type="dxa"/>
          </w:tcPr>
          <w:p w:rsidR="00CD7467" w:rsidRDefault="00CD7467" w:rsidP="00CD7467">
            <w:pPr>
              <w:widowControl w:val="0"/>
              <w:spacing w:before="20" w:after="20"/>
              <w:jc w:val="center"/>
              <w:rPr>
                <w:rFonts w:ascii="Arial" w:hAnsi="Arial" w:cs="Arial"/>
                <w:sz w:val="22"/>
                <w:szCs w:val="22"/>
              </w:rPr>
            </w:pPr>
            <w:r w:rsidRPr="00CD7467">
              <w:rPr>
                <w:rFonts w:ascii="Arial" w:hAnsi="Arial" w:cs="Arial"/>
                <w:b/>
              </w:rPr>
              <w:t>Plans d’actions</w:t>
            </w:r>
          </w:p>
        </w:tc>
      </w:tr>
      <w:tr w:rsidR="00CD7467" w:rsidTr="00CD7467">
        <w:tc>
          <w:tcPr>
            <w:tcW w:w="4183" w:type="dxa"/>
            <w:vMerge w:val="restart"/>
            <w:vAlign w:val="center"/>
          </w:tcPr>
          <w:p w:rsidR="00CD7467" w:rsidRDefault="00CD7467" w:rsidP="008119A1">
            <w:pPr>
              <w:widowControl w:val="0"/>
              <w:spacing w:before="20" w:after="20"/>
              <w:ind w:left="34"/>
              <w:rPr>
                <w:rFonts w:ascii="Arial" w:hAnsi="Arial" w:cs="Arial"/>
                <w:sz w:val="22"/>
                <w:szCs w:val="22"/>
              </w:rPr>
            </w:pPr>
            <w:r w:rsidRPr="00462213">
              <w:rPr>
                <w:rFonts w:ascii="Arial" w:hAnsi="Arial" w:cs="Arial"/>
                <w:sz w:val="22"/>
                <w:szCs w:val="22"/>
              </w:rPr>
              <w:t>Accompagner les transformations territoriales Préparer à l’évolution des pratiques professionnelles</w:t>
            </w:r>
          </w:p>
        </w:tc>
        <w:tc>
          <w:tcPr>
            <w:tcW w:w="4146" w:type="dxa"/>
          </w:tcPr>
          <w:p w:rsidR="00CD7467" w:rsidRPr="00462213" w:rsidRDefault="00CD7467" w:rsidP="00CD7467">
            <w:pPr>
              <w:pStyle w:val="Paragraphedeliste"/>
              <w:widowControl w:val="0"/>
              <w:spacing w:before="20" w:after="20" w:line="240" w:lineRule="auto"/>
              <w:ind w:left="34"/>
              <w:contextualSpacing w:val="0"/>
              <w:rPr>
                <w:rFonts w:ascii="Arial" w:hAnsi="Arial" w:cs="Arial"/>
                <w:sz w:val="22"/>
                <w:szCs w:val="22"/>
              </w:rPr>
            </w:pPr>
            <w:r w:rsidRPr="00462213">
              <w:rPr>
                <w:rFonts w:ascii="Arial" w:hAnsi="Arial" w:cs="Arial"/>
                <w:sz w:val="22"/>
                <w:szCs w:val="22"/>
              </w:rPr>
              <w:t>Organisation de conférences : forum des cadres année 1</w:t>
            </w:r>
          </w:p>
        </w:tc>
      </w:tr>
      <w:tr w:rsidR="00CD7467" w:rsidTr="00CD7467">
        <w:tc>
          <w:tcPr>
            <w:tcW w:w="4183" w:type="dxa"/>
            <w:vMerge/>
          </w:tcPr>
          <w:p w:rsidR="00CD7467" w:rsidRPr="00462213" w:rsidRDefault="00CD7467" w:rsidP="00CD7467">
            <w:pPr>
              <w:widowControl w:val="0"/>
              <w:spacing w:before="20" w:after="20"/>
              <w:ind w:left="34"/>
              <w:rPr>
                <w:rFonts w:ascii="Arial" w:hAnsi="Arial" w:cs="Arial"/>
                <w:sz w:val="22"/>
                <w:szCs w:val="22"/>
              </w:rPr>
            </w:pPr>
          </w:p>
        </w:tc>
        <w:tc>
          <w:tcPr>
            <w:tcW w:w="4146" w:type="dxa"/>
          </w:tcPr>
          <w:p w:rsidR="00CD7467" w:rsidRPr="00462213" w:rsidRDefault="00CD7467" w:rsidP="00CD7467">
            <w:pPr>
              <w:pStyle w:val="Paragraphedeliste"/>
              <w:widowControl w:val="0"/>
              <w:spacing w:before="20" w:after="20" w:line="240" w:lineRule="auto"/>
              <w:ind w:left="34"/>
              <w:contextualSpacing w:val="0"/>
              <w:rPr>
                <w:rFonts w:ascii="Arial" w:hAnsi="Arial" w:cs="Arial"/>
                <w:sz w:val="22"/>
                <w:szCs w:val="22"/>
              </w:rPr>
            </w:pPr>
            <w:r w:rsidRPr="00462213">
              <w:rPr>
                <w:rFonts w:ascii="Arial" w:hAnsi="Arial" w:cs="Arial"/>
                <w:sz w:val="22"/>
                <w:szCs w:val="22"/>
              </w:rPr>
              <w:t>Diagnostiquer l’activité de son service et devenir acteur du changement</w:t>
            </w:r>
          </w:p>
        </w:tc>
      </w:tr>
      <w:tr w:rsidR="00CD7467" w:rsidTr="00CD7467">
        <w:tc>
          <w:tcPr>
            <w:tcW w:w="4183" w:type="dxa"/>
            <w:vMerge/>
          </w:tcPr>
          <w:p w:rsidR="00CD7467" w:rsidRPr="00462213" w:rsidRDefault="00CD7467" w:rsidP="00CD7467">
            <w:pPr>
              <w:widowControl w:val="0"/>
              <w:spacing w:before="20" w:after="20"/>
              <w:ind w:left="34"/>
              <w:rPr>
                <w:rFonts w:ascii="Arial" w:hAnsi="Arial" w:cs="Arial"/>
                <w:sz w:val="22"/>
                <w:szCs w:val="22"/>
              </w:rPr>
            </w:pPr>
          </w:p>
        </w:tc>
        <w:tc>
          <w:tcPr>
            <w:tcW w:w="4146" w:type="dxa"/>
          </w:tcPr>
          <w:p w:rsidR="00CD7467" w:rsidRPr="00462213" w:rsidRDefault="00CD7467" w:rsidP="00CD7467">
            <w:pPr>
              <w:pStyle w:val="Paragraphedeliste"/>
              <w:widowControl w:val="0"/>
              <w:spacing w:before="20" w:after="20" w:line="240" w:lineRule="auto"/>
              <w:ind w:left="34"/>
              <w:contextualSpacing w:val="0"/>
              <w:rPr>
                <w:rFonts w:ascii="Arial" w:hAnsi="Arial" w:cs="Arial"/>
                <w:sz w:val="22"/>
                <w:szCs w:val="22"/>
              </w:rPr>
            </w:pPr>
            <w:r>
              <w:rPr>
                <w:rFonts w:ascii="Arial" w:hAnsi="Arial" w:cs="Arial"/>
                <w:sz w:val="22"/>
                <w:szCs w:val="22"/>
              </w:rPr>
              <w:t>Comment motiver individuelle</w:t>
            </w:r>
            <w:r w:rsidRPr="00462213">
              <w:rPr>
                <w:rFonts w:ascii="Arial" w:hAnsi="Arial" w:cs="Arial"/>
                <w:sz w:val="22"/>
                <w:szCs w:val="22"/>
              </w:rPr>
              <w:t>ment et collectivement les agents dans un contexte contraint ? (à destination des cadres)</w:t>
            </w:r>
          </w:p>
        </w:tc>
      </w:tr>
      <w:tr w:rsidR="00CD7467" w:rsidTr="00CD7467">
        <w:tc>
          <w:tcPr>
            <w:tcW w:w="4183" w:type="dxa"/>
            <w:vMerge/>
          </w:tcPr>
          <w:p w:rsidR="00CD7467" w:rsidRPr="00462213" w:rsidRDefault="00CD7467" w:rsidP="00CD7467">
            <w:pPr>
              <w:widowControl w:val="0"/>
              <w:spacing w:before="20" w:after="20"/>
              <w:ind w:left="34"/>
              <w:rPr>
                <w:rFonts w:ascii="Arial" w:hAnsi="Arial" w:cs="Arial"/>
                <w:sz w:val="22"/>
                <w:szCs w:val="22"/>
              </w:rPr>
            </w:pPr>
          </w:p>
        </w:tc>
        <w:tc>
          <w:tcPr>
            <w:tcW w:w="4146" w:type="dxa"/>
          </w:tcPr>
          <w:p w:rsidR="00CD7467" w:rsidRPr="00462213" w:rsidRDefault="00CD7467" w:rsidP="00CD7467">
            <w:pPr>
              <w:pStyle w:val="Paragraphedeliste"/>
              <w:widowControl w:val="0"/>
              <w:spacing w:before="20" w:after="20" w:line="240" w:lineRule="auto"/>
              <w:ind w:left="34"/>
              <w:contextualSpacing w:val="0"/>
              <w:rPr>
                <w:rFonts w:ascii="Arial" w:hAnsi="Arial" w:cs="Arial"/>
                <w:sz w:val="22"/>
                <w:szCs w:val="22"/>
              </w:rPr>
            </w:pPr>
            <w:r w:rsidRPr="00462213">
              <w:rPr>
                <w:rFonts w:ascii="Arial" w:hAnsi="Arial" w:cs="Arial"/>
                <w:sz w:val="22"/>
                <w:szCs w:val="22"/>
              </w:rPr>
              <w:t>Vivre le changement (opérateurs petites et grandes structures)</w:t>
            </w:r>
          </w:p>
        </w:tc>
      </w:tr>
    </w:tbl>
    <w:p w:rsidR="00CD7467" w:rsidRDefault="00CD7467" w:rsidP="00CD7467">
      <w:pPr>
        <w:widowControl w:val="0"/>
        <w:ind w:left="1418"/>
        <w:jc w:val="both"/>
        <w:rPr>
          <w:rFonts w:ascii="Arial" w:hAnsi="Arial" w:cs="Arial"/>
          <w:sz w:val="22"/>
          <w:szCs w:val="22"/>
        </w:rPr>
      </w:pPr>
    </w:p>
    <w:p w:rsidR="008119A1" w:rsidRDefault="008119A1" w:rsidP="00CD7467">
      <w:pPr>
        <w:widowControl w:val="0"/>
        <w:ind w:left="1418"/>
        <w:jc w:val="both"/>
        <w:rPr>
          <w:rFonts w:ascii="Arial" w:hAnsi="Arial" w:cs="Arial"/>
          <w:sz w:val="22"/>
          <w:szCs w:val="22"/>
        </w:rPr>
      </w:pPr>
    </w:p>
    <w:p w:rsidR="00CD7467" w:rsidRPr="00CD7467" w:rsidRDefault="00CD7467" w:rsidP="00CD7467">
      <w:pPr>
        <w:widowControl w:val="0"/>
        <w:tabs>
          <w:tab w:val="left" w:pos="1418"/>
        </w:tabs>
        <w:ind w:left="1418"/>
        <w:jc w:val="both"/>
        <w:rPr>
          <w:rFonts w:ascii="Arial" w:hAnsi="Arial" w:cs="Arial"/>
          <w:b/>
          <w:sz w:val="22"/>
          <w:szCs w:val="22"/>
        </w:rPr>
      </w:pPr>
      <w:r w:rsidRPr="00CD7467">
        <w:rPr>
          <w:rFonts w:ascii="Arial" w:hAnsi="Arial" w:cs="Arial"/>
          <w:b/>
          <w:sz w:val="22"/>
          <w:szCs w:val="22"/>
        </w:rPr>
        <w:t>Axe 2 : Anticiper l’évolution de la relation à l’usager</w:t>
      </w:r>
    </w:p>
    <w:p w:rsidR="00CD7467" w:rsidRDefault="00CD7467" w:rsidP="00CD7467">
      <w:pPr>
        <w:widowControl w:val="0"/>
        <w:tabs>
          <w:tab w:val="left" w:pos="1418"/>
        </w:tabs>
        <w:ind w:left="1418"/>
        <w:jc w:val="both"/>
        <w:rPr>
          <w:rFonts w:ascii="Arial" w:hAnsi="Arial" w:cs="Arial"/>
          <w:sz w:val="22"/>
          <w:szCs w:val="22"/>
        </w:rPr>
      </w:pPr>
    </w:p>
    <w:tbl>
      <w:tblPr>
        <w:tblStyle w:val="Grilledutableau"/>
        <w:tblW w:w="0" w:type="auto"/>
        <w:tblInd w:w="1526" w:type="dxa"/>
        <w:tblLook w:val="04A0"/>
      </w:tblPr>
      <w:tblGrid>
        <w:gridCol w:w="4110"/>
        <w:gridCol w:w="4219"/>
      </w:tblGrid>
      <w:tr w:rsidR="00CD7467" w:rsidTr="00CD7467">
        <w:tc>
          <w:tcPr>
            <w:tcW w:w="4110" w:type="dxa"/>
          </w:tcPr>
          <w:p w:rsidR="00CD7467" w:rsidRDefault="00CD7467" w:rsidP="00B32C69">
            <w:pPr>
              <w:widowControl w:val="0"/>
              <w:spacing w:beforeLines="20" w:afterLines="20"/>
              <w:jc w:val="center"/>
              <w:rPr>
                <w:rFonts w:ascii="Arial" w:hAnsi="Arial" w:cs="Arial"/>
                <w:sz w:val="22"/>
                <w:szCs w:val="22"/>
              </w:rPr>
            </w:pPr>
            <w:r w:rsidRPr="00CD7467">
              <w:rPr>
                <w:rFonts w:ascii="Arial" w:hAnsi="Arial" w:cs="Arial"/>
                <w:b/>
              </w:rPr>
              <w:t>Objectifs</w:t>
            </w:r>
          </w:p>
        </w:tc>
        <w:tc>
          <w:tcPr>
            <w:tcW w:w="4219" w:type="dxa"/>
          </w:tcPr>
          <w:p w:rsidR="00CD7467" w:rsidRDefault="00CD7467" w:rsidP="00B32C69">
            <w:pPr>
              <w:widowControl w:val="0"/>
              <w:spacing w:beforeLines="20" w:afterLines="20"/>
              <w:jc w:val="center"/>
              <w:rPr>
                <w:rFonts w:ascii="Arial" w:hAnsi="Arial" w:cs="Arial"/>
                <w:sz w:val="22"/>
                <w:szCs w:val="22"/>
              </w:rPr>
            </w:pPr>
            <w:r w:rsidRPr="00CD7467">
              <w:rPr>
                <w:rFonts w:ascii="Arial" w:hAnsi="Arial" w:cs="Arial"/>
                <w:b/>
              </w:rPr>
              <w:t>Plans d’actions</w:t>
            </w:r>
          </w:p>
        </w:tc>
      </w:tr>
      <w:tr w:rsidR="00CD7467" w:rsidTr="008119A1">
        <w:tc>
          <w:tcPr>
            <w:tcW w:w="4110" w:type="dxa"/>
            <w:vMerge w:val="restart"/>
            <w:vAlign w:val="center"/>
          </w:tcPr>
          <w:p w:rsidR="008119A1" w:rsidRDefault="00CD7467" w:rsidP="00B32C69">
            <w:pPr>
              <w:widowControl w:val="0"/>
              <w:tabs>
                <w:tab w:val="left" w:pos="34"/>
              </w:tabs>
              <w:spacing w:beforeLines="20" w:afterLines="20"/>
              <w:ind w:left="34"/>
              <w:rPr>
                <w:rFonts w:ascii="Arial" w:hAnsi="Arial" w:cs="Arial"/>
                <w:sz w:val="22"/>
                <w:szCs w:val="22"/>
              </w:rPr>
            </w:pPr>
            <w:r w:rsidRPr="00462213">
              <w:rPr>
                <w:rFonts w:ascii="Arial" w:hAnsi="Arial" w:cs="Arial"/>
                <w:sz w:val="22"/>
                <w:szCs w:val="22"/>
              </w:rPr>
              <w:t>Sensibiliser aux nouveaux modes de relations aux citoyens</w:t>
            </w:r>
          </w:p>
          <w:p w:rsidR="00CD7467" w:rsidRDefault="00CD7467" w:rsidP="00B32C69">
            <w:pPr>
              <w:widowControl w:val="0"/>
              <w:tabs>
                <w:tab w:val="left" w:pos="34"/>
              </w:tabs>
              <w:spacing w:beforeLines="20" w:afterLines="20"/>
              <w:ind w:left="34"/>
              <w:rPr>
                <w:rFonts w:ascii="Arial" w:hAnsi="Arial" w:cs="Arial"/>
                <w:sz w:val="22"/>
                <w:szCs w:val="22"/>
              </w:rPr>
            </w:pPr>
            <w:r w:rsidRPr="00462213">
              <w:rPr>
                <w:rFonts w:ascii="Arial" w:hAnsi="Arial" w:cs="Arial"/>
                <w:sz w:val="22"/>
                <w:szCs w:val="22"/>
              </w:rPr>
              <w:t>Développer et optimiser les réseaux d’utilisateurs</w:t>
            </w:r>
          </w:p>
        </w:tc>
        <w:tc>
          <w:tcPr>
            <w:tcW w:w="4219" w:type="dxa"/>
          </w:tcPr>
          <w:p w:rsidR="00CD7467" w:rsidRPr="00462213" w:rsidRDefault="00CD7467" w:rsidP="00B32C69">
            <w:pPr>
              <w:pStyle w:val="Paragraphedeliste"/>
              <w:widowControl w:val="0"/>
              <w:spacing w:beforeLines="20" w:afterLines="20" w:line="240" w:lineRule="auto"/>
              <w:ind w:left="34" w:firstLine="1"/>
              <w:jc w:val="both"/>
              <w:rPr>
                <w:rFonts w:ascii="Arial" w:hAnsi="Arial" w:cs="Arial"/>
                <w:sz w:val="22"/>
                <w:szCs w:val="22"/>
              </w:rPr>
            </w:pPr>
            <w:r w:rsidRPr="00462213">
              <w:rPr>
                <w:rFonts w:ascii="Arial" w:hAnsi="Arial" w:cs="Arial"/>
                <w:sz w:val="22"/>
                <w:szCs w:val="22"/>
              </w:rPr>
              <w:t>L’enjeu de la transition numérique</w:t>
            </w:r>
          </w:p>
        </w:tc>
      </w:tr>
      <w:tr w:rsidR="00CD7467" w:rsidTr="00CD7467">
        <w:tc>
          <w:tcPr>
            <w:tcW w:w="4110" w:type="dxa"/>
            <w:vMerge/>
          </w:tcPr>
          <w:p w:rsidR="00CD7467" w:rsidRDefault="00CD7467" w:rsidP="00B32C69">
            <w:pPr>
              <w:widowControl w:val="0"/>
              <w:tabs>
                <w:tab w:val="left" w:pos="1418"/>
              </w:tabs>
              <w:spacing w:beforeLines="20" w:afterLines="20"/>
              <w:jc w:val="both"/>
              <w:rPr>
                <w:rFonts w:ascii="Arial" w:hAnsi="Arial" w:cs="Arial"/>
                <w:sz w:val="22"/>
                <w:szCs w:val="22"/>
              </w:rPr>
            </w:pPr>
          </w:p>
        </w:tc>
        <w:tc>
          <w:tcPr>
            <w:tcW w:w="4219" w:type="dxa"/>
          </w:tcPr>
          <w:p w:rsidR="00CD7467" w:rsidRPr="00462213" w:rsidRDefault="00CD7467" w:rsidP="00B32C69">
            <w:pPr>
              <w:pStyle w:val="Paragraphedeliste"/>
              <w:widowControl w:val="0"/>
              <w:spacing w:beforeLines="20" w:afterLines="20" w:line="240" w:lineRule="auto"/>
              <w:ind w:left="34" w:firstLine="1"/>
              <w:jc w:val="both"/>
              <w:rPr>
                <w:rFonts w:ascii="Arial" w:hAnsi="Arial" w:cs="Arial"/>
                <w:sz w:val="22"/>
                <w:szCs w:val="22"/>
              </w:rPr>
            </w:pPr>
            <w:r w:rsidRPr="00462213">
              <w:rPr>
                <w:rFonts w:ascii="Arial" w:hAnsi="Arial" w:cs="Arial"/>
                <w:sz w:val="22"/>
                <w:szCs w:val="22"/>
              </w:rPr>
              <w:t>Mettre en œuvre la concertation</w:t>
            </w:r>
          </w:p>
        </w:tc>
      </w:tr>
      <w:tr w:rsidR="00CD7467" w:rsidTr="00CD7467">
        <w:tc>
          <w:tcPr>
            <w:tcW w:w="4110" w:type="dxa"/>
            <w:vMerge/>
          </w:tcPr>
          <w:p w:rsidR="00CD7467" w:rsidRDefault="00CD7467" w:rsidP="00B32C69">
            <w:pPr>
              <w:widowControl w:val="0"/>
              <w:tabs>
                <w:tab w:val="left" w:pos="1418"/>
              </w:tabs>
              <w:spacing w:beforeLines="20" w:afterLines="20"/>
              <w:jc w:val="both"/>
              <w:rPr>
                <w:rFonts w:ascii="Arial" w:hAnsi="Arial" w:cs="Arial"/>
                <w:sz w:val="22"/>
                <w:szCs w:val="22"/>
              </w:rPr>
            </w:pPr>
          </w:p>
        </w:tc>
        <w:tc>
          <w:tcPr>
            <w:tcW w:w="4219" w:type="dxa"/>
          </w:tcPr>
          <w:p w:rsidR="00CD7467" w:rsidRPr="00462213" w:rsidRDefault="008119A1" w:rsidP="00B32C69">
            <w:pPr>
              <w:pStyle w:val="Paragraphedeliste"/>
              <w:widowControl w:val="0"/>
              <w:spacing w:beforeLines="20" w:afterLines="20" w:line="240" w:lineRule="auto"/>
              <w:ind w:left="34" w:firstLine="1"/>
              <w:jc w:val="both"/>
              <w:rPr>
                <w:rFonts w:ascii="Arial" w:hAnsi="Arial" w:cs="Arial"/>
                <w:sz w:val="22"/>
                <w:szCs w:val="22"/>
              </w:rPr>
            </w:pPr>
            <w:r>
              <w:rPr>
                <w:rFonts w:ascii="Arial" w:hAnsi="Arial" w:cs="Arial"/>
                <w:sz w:val="22"/>
                <w:szCs w:val="22"/>
              </w:rPr>
              <w:t>L</w:t>
            </w:r>
            <w:r w:rsidR="00CD7467" w:rsidRPr="00462213">
              <w:rPr>
                <w:rFonts w:ascii="Arial" w:hAnsi="Arial" w:cs="Arial"/>
                <w:sz w:val="22"/>
                <w:szCs w:val="22"/>
              </w:rPr>
              <w:t>a boîte à outils des membres de réseaux (animation, conduite, pilotage de réunion)</w:t>
            </w:r>
          </w:p>
        </w:tc>
      </w:tr>
    </w:tbl>
    <w:p w:rsidR="00CD7467" w:rsidRDefault="00CD7467" w:rsidP="00CD7467">
      <w:pPr>
        <w:widowControl w:val="0"/>
        <w:tabs>
          <w:tab w:val="left" w:pos="1418"/>
        </w:tabs>
        <w:ind w:left="1418"/>
        <w:jc w:val="both"/>
        <w:rPr>
          <w:rFonts w:ascii="Arial" w:hAnsi="Arial" w:cs="Arial"/>
          <w:sz w:val="22"/>
          <w:szCs w:val="22"/>
        </w:rPr>
      </w:pPr>
    </w:p>
    <w:p w:rsidR="008119A1" w:rsidRDefault="008119A1" w:rsidP="00CD7467">
      <w:pPr>
        <w:widowControl w:val="0"/>
        <w:tabs>
          <w:tab w:val="left" w:pos="1418"/>
        </w:tabs>
        <w:ind w:left="1418"/>
        <w:jc w:val="both"/>
        <w:rPr>
          <w:rFonts w:ascii="Arial" w:hAnsi="Arial" w:cs="Arial"/>
          <w:sz w:val="22"/>
          <w:szCs w:val="22"/>
        </w:rPr>
      </w:pPr>
    </w:p>
    <w:p w:rsidR="00CD7467" w:rsidRPr="008119A1" w:rsidRDefault="00CD7467" w:rsidP="00CD7467">
      <w:pPr>
        <w:widowControl w:val="0"/>
        <w:tabs>
          <w:tab w:val="left" w:pos="1418"/>
        </w:tabs>
        <w:ind w:left="1418"/>
        <w:jc w:val="both"/>
        <w:rPr>
          <w:rFonts w:ascii="Arial" w:hAnsi="Arial" w:cs="Arial"/>
          <w:b/>
          <w:sz w:val="22"/>
          <w:szCs w:val="22"/>
        </w:rPr>
      </w:pPr>
      <w:r w:rsidRPr="008119A1">
        <w:rPr>
          <w:rFonts w:ascii="Arial" w:hAnsi="Arial" w:cs="Arial"/>
          <w:b/>
          <w:sz w:val="22"/>
          <w:szCs w:val="22"/>
        </w:rPr>
        <w:t>Axe 3 : Manager par les compétences, la santé, la sécurité et la prévention</w:t>
      </w:r>
    </w:p>
    <w:p w:rsidR="008119A1" w:rsidRDefault="008119A1" w:rsidP="00CD7467">
      <w:pPr>
        <w:widowControl w:val="0"/>
        <w:tabs>
          <w:tab w:val="left" w:pos="1418"/>
        </w:tabs>
        <w:ind w:left="1418"/>
        <w:jc w:val="both"/>
        <w:rPr>
          <w:rFonts w:ascii="Arial" w:hAnsi="Arial" w:cs="Arial"/>
          <w:sz w:val="22"/>
          <w:szCs w:val="22"/>
        </w:rPr>
      </w:pPr>
    </w:p>
    <w:tbl>
      <w:tblPr>
        <w:tblStyle w:val="Grilledutableau"/>
        <w:tblW w:w="0" w:type="auto"/>
        <w:tblInd w:w="1526" w:type="dxa"/>
        <w:tblLook w:val="04A0"/>
      </w:tblPr>
      <w:tblGrid>
        <w:gridCol w:w="4110"/>
        <w:gridCol w:w="4219"/>
      </w:tblGrid>
      <w:tr w:rsidR="008119A1" w:rsidTr="008119A1">
        <w:tc>
          <w:tcPr>
            <w:tcW w:w="4110" w:type="dxa"/>
          </w:tcPr>
          <w:p w:rsidR="008119A1" w:rsidRDefault="008119A1" w:rsidP="00B32C69">
            <w:pPr>
              <w:widowControl w:val="0"/>
              <w:spacing w:beforeLines="20" w:afterLines="20"/>
              <w:jc w:val="center"/>
              <w:rPr>
                <w:rFonts w:ascii="Arial" w:hAnsi="Arial" w:cs="Arial"/>
                <w:sz w:val="22"/>
                <w:szCs w:val="22"/>
              </w:rPr>
            </w:pPr>
            <w:r w:rsidRPr="00CD7467">
              <w:rPr>
                <w:rFonts w:ascii="Arial" w:hAnsi="Arial" w:cs="Arial"/>
                <w:b/>
              </w:rPr>
              <w:t>Objectifs</w:t>
            </w:r>
          </w:p>
        </w:tc>
        <w:tc>
          <w:tcPr>
            <w:tcW w:w="4219" w:type="dxa"/>
          </w:tcPr>
          <w:p w:rsidR="008119A1" w:rsidRDefault="008119A1" w:rsidP="00B32C69">
            <w:pPr>
              <w:widowControl w:val="0"/>
              <w:spacing w:beforeLines="20" w:afterLines="20"/>
              <w:jc w:val="center"/>
              <w:rPr>
                <w:rFonts w:ascii="Arial" w:hAnsi="Arial" w:cs="Arial"/>
                <w:sz w:val="22"/>
                <w:szCs w:val="22"/>
              </w:rPr>
            </w:pPr>
            <w:r w:rsidRPr="00CD7467">
              <w:rPr>
                <w:rFonts w:ascii="Arial" w:hAnsi="Arial" w:cs="Arial"/>
                <w:b/>
              </w:rPr>
              <w:t>Plans d’actions</w:t>
            </w:r>
          </w:p>
        </w:tc>
      </w:tr>
      <w:tr w:rsidR="008119A1" w:rsidTr="008119A1">
        <w:tc>
          <w:tcPr>
            <w:tcW w:w="4110" w:type="dxa"/>
            <w:vMerge w:val="restart"/>
            <w:vAlign w:val="center"/>
          </w:tcPr>
          <w:p w:rsidR="008119A1" w:rsidRPr="00462213" w:rsidRDefault="008119A1" w:rsidP="008119A1">
            <w:pPr>
              <w:widowControl w:val="0"/>
              <w:ind w:left="34"/>
              <w:rPr>
                <w:rFonts w:ascii="Arial" w:hAnsi="Arial" w:cs="Arial"/>
                <w:sz w:val="22"/>
                <w:szCs w:val="22"/>
              </w:rPr>
            </w:pPr>
            <w:r w:rsidRPr="00462213">
              <w:rPr>
                <w:rFonts w:ascii="Arial" w:hAnsi="Arial" w:cs="Arial"/>
                <w:sz w:val="22"/>
                <w:szCs w:val="22"/>
              </w:rPr>
              <w:t>Identifier les enjeux en matière de santé et sécurité au travail</w:t>
            </w:r>
          </w:p>
          <w:p w:rsidR="008119A1" w:rsidRDefault="008119A1" w:rsidP="008119A1">
            <w:pPr>
              <w:widowControl w:val="0"/>
              <w:tabs>
                <w:tab w:val="left" w:pos="1418"/>
              </w:tabs>
              <w:spacing w:before="20" w:after="20"/>
              <w:ind w:left="34"/>
              <w:rPr>
                <w:rFonts w:ascii="Arial" w:hAnsi="Arial" w:cs="Arial"/>
                <w:sz w:val="22"/>
                <w:szCs w:val="22"/>
              </w:rPr>
            </w:pPr>
            <w:r w:rsidRPr="00462213">
              <w:rPr>
                <w:rFonts w:ascii="Arial" w:hAnsi="Arial" w:cs="Arial"/>
                <w:sz w:val="22"/>
                <w:szCs w:val="22"/>
              </w:rPr>
              <w:t>Responsabiliser les acteurs par une meilleure appréhension des rôles de chacun</w:t>
            </w:r>
          </w:p>
        </w:tc>
        <w:tc>
          <w:tcPr>
            <w:tcW w:w="4219" w:type="dxa"/>
          </w:tcPr>
          <w:p w:rsidR="008119A1" w:rsidRDefault="008119A1" w:rsidP="008119A1">
            <w:pPr>
              <w:spacing w:before="20" w:after="20"/>
              <w:ind w:left="34"/>
              <w:jc w:val="both"/>
              <w:rPr>
                <w:rFonts w:ascii="Arial" w:hAnsi="Arial" w:cs="Arial"/>
                <w:sz w:val="22"/>
                <w:szCs w:val="22"/>
              </w:rPr>
            </w:pPr>
            <w:r>
              <w:rPr>
                <w:rFonts w:ascii="Arial" w:hAnsi="Arial" w:cs="Arial"/>
                <w:sz w:val="22"/>
                <w:szCs w:val="22"/>
              </w:rPr>
              <w:t>L</w:t>
            </w:r>
            <w:r w:rsidRPr="00462213">
              <w:rPr>
                <w:rFonts w:ascii="Arial" w:hAnsi="Arial" w:cs="Arial"/>
                <w:sz w:val="22"/>
                <w:szCs w:val="22"/>
              </w:rPr>
              <w:t>e rôle de l’encadrement en matière de santé et sécurité au travail</w:t>
            </w:r>
          </w:p>
        </w:tc>
      </w:tr>
      <w:tr w:rsidR="008119A1" w:rsidTr="008119A1">
        <w:tc>
          <w:tcPr>
            <w:tcW w:w="4110" w:type="dxa"/>
            <w:vMerge/>
          </w:tcPr>
          <w:p w:rsidR="008119A1" w:rsidRDefault="008119A1" w:rsidP="008119A1">
            <w:pPr>
              <w:widowControl w:val="0"/>
              <w:tabs>
                <w:tab w:val="left" w:pos="1418"/>
              </w:tabs>
              <w:spacing w:before="20" w:after="20"/>
              <w:jc w:val="both"/>
              <w:rPr>
                <w:rFonts w:ascii="Arial" w:hAnsi="Arial" w:cs="Arial"/>
                <w:sz w:val="22"/>
                <w:szCs w:val="22"/>
              </w:rPr>
            </w:pPr>
          </w:p>
        </w:tc>
        <w:tc>
          <w:tcPr>
            <w:tcW w:w="4219" w:type="dxa"/>
          </w:tcPr>
          <w:p w:rsidR="008119A1" w:rsidRPr="00462213" w:rsidRDefault="008119A1" w:rsidP="008119A1">
            <w:pPr>
              <w:pStyle w:val="Paragraphedeliste"/>
              <w:widowControl w:val="0"/>
              <w:spacing w:before="20" w:after="20" w:line="240" w:lineRule="auto"/>
              <w:ind w:left="34"/>
              <w:contextualSpacing w:val="0"/>
              <w:jc w:val="both"/>
              <w:rPr>
                <w:rFonts w:ascii="Arial" w:hAnsi="Arial" w:cs="Arial"/>
                <w:sz w:val="22"/>
                <w:szCs w:val="22"/>
              </w:rPr>
            </w:pPr>
            <w:r w:rsidRPr="00462213">
              <w:rPr>
                <w:rFonts w:ascii="Arial" w:hAnsi="Arial" w:cs="Arial"/>
                <w:sz w:val="22"/>
                <w:szCs w:val="22"/>
              </w:rPr>
              <w:t>Accompagner les besoins d’évolution professionnelle</w:t>
            </w:r>
          </w:p>
        </w:tc>
      </w:tr>
      <w:tr w:rsidR="008119A1" w:rsidTr="008119A1">
        <w:tc>
          <w:tcPr>
            <w:tcW w:w="4110" w:type="dxa"/>
            <w:vMerge/>
          </w:tcPr>
          <w:p w:rsidR="008119A1" w:rsidRDefault="008119A1" w:rsidP="008119A1">
            <w:pPr>
              <w:widowControl w:val="0"/>
              <w:tabs>
                <w:tab w:val="left" w:pos="1418"/>
              </w:tabs>
              <w:spacing w:before="20" w:after="20"/>
              <w:jc w:val="both"/>
              <w:rPr>
                <w:rFonts w:ascii="Arial" w:hAnsi="Arial" w:cs="Arial"/>
                <w:sz w:val="22"/>
                <w:szCs w:val="22"/>
              </w:rPr>
            </w:pPr>
          </w:p>
        </w:tc>
        <w:tc>
          <w:tcPr>
            <w:tcW w:w="4219" w:type="dxa"/>
          </w:tcPr>
          <w:p w:rsidR="008119A1" w:rsidRPr="00462213" w:rsidRDefault="008119A1" w:rsidP="008119A1">
            <w:pPr>
              <w:pStyle w:val="Paragraphedeliste"/>
              <w:widowControl w:val="0"/>
              <w:spacing w:before="20" w:after="20" w:line="240" w:lineRule="auto"/>
              <w:ind w:left="34"/>
              <w:contextualSpacing w:val="0"/>
              <w:jc w:val="both"/>
              <w:rPr>
                <w:rFonts w:ascii="Arial" w:hAnsi="Arial" w:cs="Arial"/>
                <w:sz w:val="22"/>
                <w:szCs w:val="22"/>
              </w:rPr>
            </w:pPr>
            <w:r w:rsidRPr="00462213">
              <w:rPr>
                <w:rFonts w:ascii="Arial" w:hAnsi="Arial" w:cs="Arial"/>
                <w:sz w:val="22"/>
                <w:szCs w:val="22"/>
              </w:rPr>
              <w:t>PRAP</w:t>
            </w:r>
          </w:p>
        </w:tc>
      </w:tr>
      <w:tr w:rsidR="008119A1" w:rsidTr="008119A1">
        <w:tc>
          <w:tcPr>
            <w:tcW w:w="4110" w:type="dxa"/>
            <w:vMerge/>
          </w:tcPr>
          <w:p w:rsidR="008119A1" w:rsidRDefault="008119A1" w:rsidP="008119A1">
            <w:pPr>
              <w:widowControl w:val="0"/>
              <w:tabs>
                <w:tab w:val="left" w:pos="1418"/>
              </w:tabs>
              <w:spacing w:before="20" w:after="20"/>
              <w:jc w:val="both"/>
              <w:rPr>
                <w:rFonts w:ascii="Arial" w:hAnsi="Arial" w:cs="Arial"/>
                <w:sz w:val="22"/>
                <w:szCs w:val="22"/>
              </w:rPr>
            </w:pPr>
          </w:p>
        </w:tc>
        <w:tc>
          <w:tcPr>
            <w:tcW w:w="4219" w:type="dxa"/>
          </w:tcPr>
          <w:p w:rsidR="008119A1" w:rsidRPr="00462213" w:rsidRDefault="008119A1" w:rsidP="008119A1">
            <w:pPr>
              <w:pStyle w:val="Paragraphedeliste"/>
              <w:widowControl w:val="0"/>
              <w:spacing w:before="20" w:after="20" w:line="240" w:lineRule="auto"/>
              <w:ind w:left="34"/>
              <w:contextualSpacing w:val="0"/>
              <w:jc w:val="both"/>
              <w:rPr>
                <w:rFonts w:ascii="Arial" w:hAnsi="Arial" w:cs="Arial"/>
                <w:sz w:val="22"/>
                <w:szCs w:val="22"/>
              </w:rPr>
            </w:pPr>
            <w:r w:rsidRPr="00462213">
              <w:rPr>
                <w:rFonts w:ascii="Arial" w:hAnsi="Arial" w:cs="Arial"/>
                <w:sz w:val="22"/>
                <w:szCs w:val="22"/>
              </w:rPr>
              <w:t>Amiante</w:t>
            </w:r>
          </w:p>
        </w:tc>
      </w:tr>
    </w:tbl>
    <w:p w:rsidR="008119A1" w:rsidRDefault="008119A1" w:rsidP="00CD7467">
      <w:pPr>
        <w:widowControl w:val="0"/>
        <w:tabs>
          <w:tab w:val="left" w:pos="1418"/>
        </w:tabs>
        <w:ind w:left="1418"/>
        <w:jc w:val="both"/>
        <w:rPr>
          <w:rFonts w:ascii="Arial" w:hAnsi="Arial" w:cs="Arial"/>
          <w:sz w:val="22"/>
          <w:szCs w:val="22"/>
        </w:rPr>
      </w:pPr>
    </w:p>
    <w:p w:rsidR="008119A1" w:rsidRDefault="008119A1" w:rsidP="00CD7467">
      <w:pPr>
        <w:widowControl w:val="0"/>
        <w:tabs>
          <w:tab w:val="left" w:pos="1418"/>
        </w:tabs>
        <w:ind w:left="1418"/>
        <w:jc w:val="both"/>
        <w:rPr>
          <w:rFonts w:ascii="Arial" w:hAnsi="Arial" w:cs="Arial"/>
          <w:sz w:val="22"/>
          <w:szCs w:val="22"/>
        </w:rPr>
      </w:pPr>
    </w:p>
    <w:p w:rsidR="008119A1" w:rsidRDefault="008119A1" w:rsidP="00CD7467">
      <w:pPr>
        <w:widowControl w:val="0"/>
        <w:tabs>
          <w:tab w:val="left" w:pos="1418"/>
        </w:tabs>
        <w:ind w:left="1418"/>
        <w:jc w:val="both"/>
        <w:rPr>
          <w:rFonts w:ascii="Arial" w:hAnsi="Arial" w:cs="Arial"/>
          <w:sz w:val="22"/>
          <w:szCs w:val="22"/>
        </w:rPr>
      </w:pP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CD7467" w:rsidRPr="008119A1" w:rsidRDefault="00CD7467" w:rsidP="008119A1">
      <w:pPr>
        <w:pStyle w:val="Paragraphedeliste"/>
        <w:widowControl w:val="0"/>
        <w:tabs>
          <w:tab w:val="left" w:pos="1418"/>
        </w:tabs>
        <w:spacing w:after="0" w:line="240" w:lineRule="auto"/>
        <w:ind w:left="1418"/>
        <w:contextualSpacing w:val="0"/>
        <w:jc w:val="both"/>
        <w:rPr>
          <w:rFonts w:ascii="Arial" w:hAnsi="Arial" w:cs="Arial"/>
          <w:b/>
          <w:sz w:val="22"/>
          <w:szCs w:val="22"/>
        </w:rPr>
      </w:pPr>
      <w:r w:rsidRPr="008119A1">
        <w:rPr>
          <w:rFonts w:ascii="Arial" w:hAnsi="Arial" w:cs="Arial"/>
          <w:b/>
          <w:sz w:val="22"/>
          <w:szCs w:val="22"/>
        </w:rPr>
        <w:t>Axe 4 : Délocaliser des actions de formation du CNFPT sur le secteur de Roanne</w:t>
      </w: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tbl>
      <w:tblPr>
        <w:tblStyle w:val="Grilledutableau"/>
        <w:tblW w:w="0" w:type="auto"/>
        <w:tblInd w:w="1526" w:type="dxa"/>
        <w:tblLook w:val="04A0"/>
      </w:tblPr>
      <w:tblGrid>
        <w:gridCol w:w="4110"/>
        <w:gridCol w:w="4219"/>
      </w:tblGrid>
      <w:tr w:rsidR="008119A1" w:rsidTr="008119A1">
        <w:tc>
          <w:tcPr>
            <w:tcW w:w="4110" w:type="dxa"/>
          </w:tcPr>
          <w:p w:rsidR="008119A1" w:rsidRDefault="008119A1" w:rsidP="00B32C69">
            <w:pPr>
              <w:widowControl w:val="0"/>
              <w:spacing w:beforeLines="20" w:afterLines="20"/>
              <w:jc w:val="center"/>
              <w:rPr>
                <w:rFonts w:ascii="Arial" w:hAnsi="Arial" w:cs="Arial"/>
                <w:sz w:val="22"/>
                <w:szCs w:val="22"/>
              </w:rPr>
            </w:pPr>
            <w:r w:rsidRPr="00CD7467">
              <w:rPr>
                <w:rFonts w:ascii="Arial" w:hAnsi="Arial" w:cs="Arial"/>
                <w:b/>
              </w:rPr>
              <w:t>Objectifs</w:t>
            </w:r>
          </w:p>
        </w:tc>
        <w:tc>
          <w:tcPr>
            <w:tcW w:w="4219" w:type="dxa"/>
          </w:tcPr>
          <w:p w:rsidR="008119A1" w:rsidRDefault="008119A1" w:rsidP="00B32C69">
            <w:pPr>
              <w:widowControl w:val="0"/>
              <w:spacing w:beforeLines="20" w:afterLines="20"/>
              <w:jc w:val="center"/>
              <w:rPr>
                <w:rFonts w:ascii="Arial" w:hAnsi="Arial" w:cs="Arial"/>
                <w:sz w:val="22"/>
                <w:szCs w:val="22"/>
              </w:rPr>
            </w:pPr>
            <w:r w:rsidRPr="00CD7467">
              <w:rPr>
                <w:rFonts w:ascii="Arial" w:hAnsi="Arial" w:cs="Arial"/>
                <w:b/>
              </w:rPr>
              <w:t>Plans d’actions</w:t>
            </w:r>
          </w:p>
        </w:tc>
      </w:tr>
      <w:tr w:rsidR="008119A1" w:rsidTr="008119A1">
        <w:tc>
          <w:tcPr>
            <w:tcW w:w="4110" w:type="dxa"/>
            <w:vMerge w:val="restart"/>
            <w:vAlign w:val="center"/>
          </w:tcPr>
          <w:p w:rsidR="008119A1" w:rsidRDefault="008119A1" w:rsidP="008119A1">
            <w:pPr>
              <w:widowControl w:val="0"/>
              <w:ind w:left="34"/>
              <w:rPr>
                <w:rFonts w:ascii="Arial" w:hAnsi="Arial" w:cs="Arial"/>
                <w:sz w:val="22"/>
                <w:szCs w:val="22"/>
              </w:rPr>
            </w:pPr>
            <w:r w:rsidRPr="00462213">
              <w:rPr>
                <w:rFonts w:ascii="Arial" w:hAnsi="Arial" w:cs="Arial"/>
                <w:sz w:val="22"/>
                <w:szCs w:val="22"/>
              </w:rPr>
              <w:t>Développer la coopération avec le CNFPT pour une offre de formation en adéquation avec les besoins du territoire Roannais</w:t>
            </w:r>
          </w:p>
        </w:tc>
        <w:tc>
          <w:tcPr>
            <w:tcW w:w="4219" w:type="dxa"/>
          </w:tcPr>
          <w:p w:rsidR="008119A1" w:rsidRPr="00462213" w:rsidRDefault="008119A1" w:rsidP="008119A1">
            <w:pPr>
              <w:spacing w:before="20" w:after="20"/>
              <w:ind w:left="34"/>
              <w:jc w:val="both"/>
              <w:rPr>
                <w:rFonts w:ascii="Arial" w:hAnsi="Arial" w:cs="Arial"/>
                <w:sz w:val="22"/>
                <w:szCs w:val="22"/>
              </w:rPr>
            </w:pPr>
            <w:r w:rsidRPr="00462213">
              <w:rPr>
                <w:rFonts w:ascii="Arial" w:hAnsi="Arial" w:cs="Arial"/>
                <w:sz w:val="22"/>
                <w:szCs w:val="22"/>
              </w:rPr>
              <w:t>Travailler en réseau afin de produire, mettre en œuvre et accueillir les délocalisations d’actions catalogue pertinentes sur le territoire</w:t>
            </w:r>
          </w:p>
        </w:tc>
      </w:tr>
      <w:tr w:rsidR="008119A1" w:rsidTr="008119A1">
        <w:tc>
          <w:tcPr>
            <w:tcW w:w="4110" w:type="dxa"/>
            <w:vMerge/>
          </w:tcPr>
          <w:p w:rsidR="008119A1" w:rsidRDefault="008119A1" w:rsidP="008119A1">
            <w:pPr>
              <w:pStyle w:val="Paragraphedeliste"/>
              <w:widowControl w:val="0"/>
              <w:tabs>
                <w:tab w:val="left" w:pos="1418"/>
              </w:tabs>
              <w:spacing w:before="20" w:after="20" w:line="240" w:lineRule="auto"/>
              <w:ind w:left="0"/>
              <w:contextualSpacing w:val="0"/>
              <w:jc w:val="both"/>
              <w:rPr>
                <w:rFonts w:ascii="Arial" w:hAnsi="Arial" w:cs="Arial"/>
                <w:sz w:val="22"/>
                <w:szCs w:val="22"/>
              </w:rPr>
            </w:pPr>
          </w:p>
        </w:tc>
        <w:tc>
          <w:tcPr>
            <w:tcW w:w="4219" w:type="dxa"/>
          </w:tcPr>
          <w:p w:rsidR="008119A1" w:rsidRPr="00462213" w:rsidRDefault="008119A1" w:rsidP="008119A1">
            <w:pPr>
              <w:pStyle w:val="Paragraphedeliste"/>
              <w:widowControl w:val="0"/>
              <w:spacing w:before="20" w:after="20" w:line="240" w:lineRule="auto"/>
              <w:ind w:left="34"/>
              <w:contextualSpacing w:val="0"/>
              <w:jc w:val="both"/>
              <w:rPr>
                <w:rFonts w:ascii="Arial" w:hAnsi="Arial" w:cs="Arial"/>
                <w:sz w:val="22"/>
                <w:szCs w:val="22"/>
              </w:rPr>
            </w:pPr>
            <w:r w:rsidRPr="00462213">
              <w:rPr>
                <w:rFonts w:ascii="Arial" w:hAnsi="Arial" w:cs="Arial"/>
                <w:sz w:val="22"/>
                <w:szCs w:val="22"/>
              </w:rPr>
              <w:t>Travailler en collaboration pour élaborer des réponses formation adaptées au projet de territoire (offre dédiée aux petites collectivités en lien avec le PFM du CDG42)</w:t>
            </w:r>
          </w:p>
        </w:tc>
      </w:tr>
    </w:tbl>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8119A1" w:rsidRDefault="008119A1" w:rsidP="008119A1">
      <w:pPr>
        <w:pStyle w:val="Paragraphedeliste"/>
        <w:widowControl w:val="0"/>
        <w:tabs>
          <w:tab w:val="left" w:pos="1418"/>
        </w:tabs>
        <w:spacing w:after="0" w:line="240" w:lineRule="auto"/>
        <w:ind w:left="1418"/>
        <w:contextualSpacing w:val="0"/>
        <w:jc w:val="both"/>
        <w:rPr>
          <w:rFonts w:ascii="Arial" w:hAnsi="Arial" w:cs="Arial"/>
          <w:sz w:val="22"/>
          <w:szCs w:val="22"/>
        </w:rPr>
      </w:pPr>
    </w:p>
    <w:p w:rsidR="00CD7467" w:rsidRPr="00462213" w:rsidRDefault="00CD7467" w:rsidP="00CD7467">
      <w:pPr>
        <w:tabs>
          <w:tab w:val="left" w:pos="1418"/>
        </w:tabs>
        <w:ind w:left="1418"/>
        <w:jc w:val="both"/>
        <w:rPr>
          <w:rFonts w:ascii="Arial" w:hAnsi="Arial" w:cs="Arial"/>
          <w:sz w:val="22"/>
          <w:szCs w:val="22"/>
        </w:rPr>
      </w:pPr>
      <w:r w:rsidRPr="00462213">
        <w:rPr>
          <w:rFonts w:ascii="Arial" w:hAnsi="Arial" w:cs="Arial"/>
          <w:sz w:val="22"/>
          <w:szCs w:val="22"/>
        </w:rPr>
        <w:t>Il est à souligner que l’ensemble de ces actions qui devra concerner un nombre important d’agents (évalué entre 600 et 700 sur 3 ans) sera en grande partie pris en charge financièrement par le CNFPT.</w:t>
      </w:r>
    </w:p>
    <w:p w:rsidR="00CD7467" w:rsidRPr="00462213" w:rsidRDefault="00CD7467" w:rsidP="00CD7467">
      <w:pPr>
        <w:tabs>
          <w:tab w:val="left" w:pos="1418"/>
        </w:tabs>
        <w:ind w:left="1418"/>
        <w:jc w:val="both"/>
        <w:rPr>
          <w:rFonts w:ascii="Arial" w:hAnsi="Arial" w:cs="Arial"/>
          <w:sz w:val="22"/>
          <w:szCs w:val="22"/>
        </w:rPr>
      </w:pPr>
    </w:p>
    <w:p w:rsidR="00CD7467" w:rsidRPr="005A74C4" w:rsidRDefault="00CD7467" w:rsidP="00CD7467">
      <w:pPr>
        <w:tabs>
          <w:tab w:val="left" w:pos="1418"/>
        </w:tabs>
        <w:ind w:left="1418"/>
        <w:jc w:val="both"/>
        <w:rPr>
          <w:rFonts w:ascii="Arial" w:hAnsi="Arial" w:cs="Arial"/>
          <w:b/>
          <w:sz w:val="22"/>
          <w:szCs w:val="22"/>
        </w:rPr>
      </w:pPr>
      <w:r w:rsidRPr="00462213">
        <w:rPr>
          <w:rFonts w:ascii="Arial" w:hAnsi="Arial" w:cs="Arial"/>
          <w:sz w:val="22"/>
          <w:szCs w:val="22"/>
        </w:rPr>
        <w:t>Pour compléter l’axe 3, un groupement de commandes, porté par Roannais Agglomération est en cours d’élaboration. Il porte sur l’achat de formations sécurité (formations obligatoires mais non prises en charge par le CNFPT) : CACES, FIMO et FCO, sécurité incendie, interventions à proximité des réseaux, travail en milieu confiné.</w:t>
      </w:r>
      <w:r w:rsidR="005A74C4">
        <w:rPr>
          <w:rFonts w:ascii="Arial" w:hAnsi="Arial" w:cs="Arial"/>
          <w:b/>
          <w:sz w:val="22"/>
          <w:szCs w:val="22"/>
        </w:rPr>
        <w:t>"</w:t>
      </w:r>
    </w:p>
    <w:p w:rsidR="00CD7467" w:rsidRDefault="00CD7467" w:rsidP="00CD7467">
      <w:pPr>
        <w:tabs>
          <w:tab w:val="left" w:pos="1418"/>
        </w:tabs>
        <w:ind w:left="1418"/>
        <w:jc w:val="both"/>
        <w:rPr>
          <w:rFonts w:ascii="Arial" w:hAnsi="Arial" w:cs="Arial"/>
          <w:sz w:val="22"/>
          <w:szCs w:val="22"/>
        </w:rPr>
      </w:pPr>
    </w:p>
    <w:p w:rsidR="005A74C4" w:rsidRDefault="005A74C4" w:rsidP="0015752D">
      <w:pPr>
        <w:ind w:left="1418"/>
        <w:jc w:val="both"/>
        <w:rPr>
          <w:rFonts w:ascii="Arial" w:hAnsi="Arial"/>
          <w:sz w:val="22"/>
          <w:szCs w:val="22"/>
        </w:rPr>
      </w:pPr>
      <w:r>
        <w:rPr>
          <w:rFonts w:ascii="Arial" w:hAnsi="Arial"/>
          <w:sz w:val="22"/>
          <w:szCs w:val="22"/>
        </w:rPr>
        <w:t>Vu le Code général des collectivités territoriales ;</w:t>
      </w:r>
    </w:p>
    <w:p w:rsidR="005A74C4" w:rsidRPr="00421142" w:rsidRDefault="005A74C4" w:rsidP="0015752D">
      <w:pPr>
        <w:ind w:left="1418"/>
        <w:jc w:val="both"/>
        <w:rPr>
          <w:rFonts w:ascii="Arial" w:hAnsi="Arial"/>
          <w:sz w:val="12"/>
          <w:szCs w:val="12"/>
        </w:rPr>
      </w:pPr>
    </w:p>
    <w:p w:rsidR="005A74C4" w:rsidRDefault="005A74C4" w:rsidP="0015752D">
      <w:pPr>
        <w:ind w:left="1418"/>
        <w:jc w:val="both"/>
        <w:rPr>
          <w:rFonts w:ascii="Arial" w:hAnsi="Arial"/>
          <w:sz w:val="22"/>
          <w:szCs w:val="22"/>
        </w:rPr>
      </w:pPr>
      <w:r>
        <w:rPr>
          <w:rFonts w:ascii="Arial" w:hAnsi="Arial"/>
          <w:sz w:val="22"/>
          <w:szCs w:val="22"/>
        </w:rPr>
        <w:t>Après en avoir délibéré, le conseil municipal, à l'unanimité :</w:t>
      </w:r>
    </w:p>
    <w:p w:rsidR="00CD7467" w:rsidRPr="008119A1" w:rsidRDefault="008119A1" w:rsidP="008119A1">
      <w:pPr>
        <w:pStyle w:val="Paragraphedeliste"/>
        <w:numPr>
          <w:ilvl w:val="0"/>
          <w:numId w:val="11"/>
        </w:numPr>
        <w:spacing w:before="120" w:after="0" w:line="240" w:lineRule="auto"/>
        <w:ind w:left="1701" w:hanging="283"/>
        <w:contextualSpacing w:val="0"/>
        <w:jc w:val="both"/>
        <w:rPr>
          <w:rFonts w:ascii="Arial" w:hAnsi="Arial" w:cs="Arial"/>
          <w:sz w:val="22"/>
          <w:szCs w:val="22"/>
        </w:rPr>
      </w:pPr>
      <w:r>
        <w:rPr>
          <w:rFonts w:ascii="Arial" w:hAnsi="Arial" w:cs="Arial"/>
          <w:sz w:val="22"/>
          <w:szCs w:val="22"/>
        </w:rPr>
        <w:t>v</w:t>
      </w:r>
      <w:r w:rsidR="005A74C4">
        <w:rPr>
          <w:rFonts w:ascii="Arial" w:hAnsi="Arial" w:cs="Arial"/>
          <w:sz w:val="22"/>
          <w:szCs w:val="22"/>
        </w:rPr>
        <w:t>alide</w:t>
      </w:r>
      <w:r w:rsidR="00CD7467" w:rsidRPr="008119A1">
        <w:rPr>
          <w:rFonts w:ascii="Arial" w:hAnsi="Arial" w:cs="Arial"/>
          <w:sz w:val="22"/>
          <w:szCs w:val="22"/>
        </w:rPr>
        <w:t xml:space="preserve"> le plan de formation territorialisé proposé pour la période 2016-2018</w:t>
      </w:r>
      <w:r>
        <w:rPr>
          <w:rFonts w:ascii="Arial" w:hAnsi="Arial" w:cs="Arial"/>
          <w:sz w:val="22"/>
          <w:szCs w:val="22"/>
        </w:rPr>
        <w:t xml:space="preserve"> ;</w:t>
      </w:r>
    </w:p>
    <w:p w:rsidR="00CD7467" w:rsidRPr="008119A1" w:rsidRDefault="008119A1" w:rsidP="008119A1">
      <w:pPr>
        <w:pStyle w:val="Paragraphedeliste"/>
        <w:numPr>
          <w:ilvl w:val="0"/>
          <w:numId w:val="11"/>
        </w:numPr>
        <w:spacing w:before="120" w:after="0" w:line="240" w:lineRule="auto"/>
        <w:ind w:left="1701" w:hanging="283"/>
        <w:contextualSpacing w:val="0"/>
        <w:jc w:val="both"/>
        <w:rPr>
          <w:rFonts w:ascii="Arial" w:hAnsi="Arial" w:cs="Arial"/>
          <w:sz w:val="22"/>
          <w:szCs w:val="22"/>
        </w:rPr>
      </w:pPr>
      <w:r>
        <w:rPr>
          <w:rFonts w:ascii="Arial" w:hAnsi="Arial" w:cs="Arial"/>
          <w:sz w:val="22"/>
          <w:szCs w:val="22"/>
        </w:rPr>
        <w:t>a</w:t>
      </w:r>
      <w:r w:rsidR="005A74C4">
        <w:rPr>
          <w:rFonts w:ascii="Arial" w:hAnsi="Arial" w:cs="Arial"/>
          <w:sz w:val="22"/>
          <w:szCs w:val="22"/>
        </w:rPr>
        <w:t>utorise</w:t>
      </w:r>
      <w:r w:rsidR="00CD7467" w:rsidRPr="008119A1">
        <w:rPr>
          <w:rFonts w:ascii="Arial" w:hAnsi="Arial" w:cs="Arial"/>
          <w:sz w:val="22"/>
          <w:szCs w:val="22"/>
        </w:rPr>
        <w:t xml:space="preserve"> le Maire ou son représentant</w:t>
      </w:r>
      <w:r>
        <w:rPr>
          <w:rFonts w:ascii="Arial" w:hAnsi="Arial" w:cs="Arial"/>
          <w:sz w:val="22"/>
          <w:szCs w:val="22"/>
        </w:rPr>
        <w:t>,</w:t>
      </w:r>
      <w:r w:rsidR="00CD7467" w:rsidRPr="008119A1">
        <w:rPr>
          <w:rFonts w:ascii="Arial" w:hAnsi="Arial" w:cs="Arial"/>
          <w:sz w:val="22"/>
          <w:szCs w:val="22"/>
        </w:rPr>
        <w:t xml:space="preserve"> à signer le</w:t>
      </w:r>
      <w:r>
        <w:rPr>
          <w:rFonts w:ascii="Arial" w:hAnsi="Arial" w:cs="Arial"/>
          <w:sz w:val="22"/>
          <w:szCs w:val="22"/>
        </w:rPr>
        <w:t>s actes correspondants (contrat</w:t>
      </w:r>
      <w:r w:rsidR="00CD7467" w:rsidRPr="008119A1">
        <w:rPr>
          <w:rFonts w:ascii="Arial" w:hAnsi="Arial" w:cs="Arial"/>
          <w:sz w:val="22"/>
          <w:szCs w:val="22"/>
        </w:rPr>
        <w:t xml:space="preserve"> initial et avenants éventuels</w:t>
      </w:r>
      <w:bookmarkStart w:id="0" w:name="_GoBack"/>
      <w:bookmarkEnd w:id="0"/>
      <w:r w:rsidR="00CD7467" w:rsidRPr="008119A1">
        <w:rPr>
          <w:rFonts w:ascii="Arial" w:hAnsi="Arial" w:cs="Arial"/>
          <w:sz w:val="22"/>
          <w:szCs w:val="22"/>
        </w:rPr>
        <w:t>)</w:t>
      </w:r>
      <w:r>
        <w:rPr>
          <w:rFonts w:ascii="Arial" w:hAnsi="Arial" w:cs="Arial"/>
          <w:sz w:val="22"/>
          <w:szCs w:val="22"/>
        </w:rPr>
        <w:t xml:space="preserve"> ;</w:t>
      </w:r>
    </w:p>
    <w:p w:rsidR="00CD7467" w:rsidRPr="008119A1" w:rsidRDefault="005A74C4" w:rsidP="008119A1">
      <w:pPr>
        <w:pStyle w:val="Paragraphedeliste"/>
        <w:numPr>
          <w:ilvl w:val="0"/>
          <w:numId w:val="11"/>
        </w:numPr>
        <w:spacing w:before="120" w:after="0" w:line="240" w:lineRule="auto"/>
        <w:ind w:left="1701" w:hanging="283"/>
        <w:contextualSpacing w:val="0"/>
        <w:jc w:val="both"/>
        <w:rPr>
          <w:rFonts w:ascii="Arial" w:hAnsi="Arial" w:cs="Arial"/>
          <w:sz w:val="22"/>
          <w:szCs w:val="22"/>
        </w:rPr>
      </w:pPr>
      <w:r>
        <w:rPr>
          <w:rFonts w:ascii="Arial" w:hAnsi="Arial" w:cs="Arial"/>
          <w:sz w:val="22"/>
          <w:szCs w:val="22"/>
        </w:rPr>
        <w:t>dit</w:t>
      </w:r>
      <w:r w:rsidR="00CD7467" w:rsidRPr="008119A1">
        <w:rPr>
          <w:rFonts w:ascii="Arial" w:hAnsi="Arial" w:cs="Arial"/>
          <w:sz w:val="22"/>
          <w:szCs w:val="22"/>
        </w:rPr>
        <w:t xml:space="preserve"> que les crédits correspondants sont inscrits au budget</w:t>
      </w:r>
      <w:r w:rsidR="008119A1">
        <w:rPr>
          <w:rFonts w:ascii="Arial" w:hAnsi="Arial" w:cs="Arial"/>
          <w:sz w:val="22"/>
          <w:szCs w:val="22"/>
        </w:rPr>
        <w:t>.</w:t>
      </w:r>
    </w:p>
    <w:p w:rsidR="00CD7467" w:rsidRPr="00462213" w:rsidRDefault="00CD7467" w:rsidP="00CD7467">
      <w:pPr>
        <w:tabs>
          <w:tab w:val="left" w:pos="1418"/>
        </w:tabs>
        <w:ind w:left="1418"/>
        <w:jc w:val="both"/>
        <w:rPr>
          <w:rFonts w:ascii="Arial" w:hAnsi="Arial" w:cs="Arial"/>
          <w:sz w:val="22"/>
          <w:szCs w:val="22"/>
        </w:rPr>
      </w:pPr>
    </w:p>
    <w:p w:rsidR="00CD36C5" w:rsidRDefault="00CD36C5" w:rsidP="008A794C">
      <w:pPr>
        <w:ind w:left="1418"/>
        <w:rPr>
          <w:rFonts w:ascii="Arial" w:hAnsi="Arial"/>
          <w:sz w:val="22"/>
        </w:rPr>
      </w:pPr>
    </w:p>
    <w:p w:rsidR="008119A1" w:rsidRDefault="008119A1" w:rsidP="008A794C">
      <w:pPr>
        <w:ind w:left="1418"/>
        <w:rPr>
          <w:rFonts w:ascii="Arial" w:hAnsi="Arial"/>
          <w:sz w:val="22"/>
        </w:rPr>
      </w:pPr>
    </w:p>
    <w:sectPr w:rsidR="008119A1" w:rsidSect="00CD36C5">
      <w:headerReference w:type="even" r:id="rId8"/>
      <w:headerReference w:type="default" r:id="rId9"/>
      <w:footerReference w:type="even" r:id="rId10"/>
      <w:footerReference w:type="first" r:id="rId11"/>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67" w:rsidRDefault="00CD7467">
      <w:r>
        <w:separator/>
      </w:r>
    </w:p>
  </w:endnote>
  <w:endnote w:type="continuationSeparator" w:id="0">
    <w:p w:rsidR="00CD7467" w:rsidRDefault="00CD74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67" w:rsidRDefault="00CD7467" w:rsidP="00DE4563">
    <w:pPr>
      <w:pStyle w:val="Pieddepage"/>
      <w:jc w:val="right"/>
    </w:pP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67" w:rsidRDefault="00CD7467" w:rsidP="00CD36C5">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67" w:rsidRDefault="00CD7467">
      <w:r>
        <w:separator/>
      </w:r>
    </w:p>
  </w:footnote>
  <w:footnote w:type="continuationSeparator" w:id="0">
    <w:p w:rsidR="00CD7467" w:rsidRDefault="00CD7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67" w:rsidRDefault="00CD7467" w:rsidP="005C10B9">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67" w:rsidRDefault="00CD7467" w:rsidP="006834AC">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C5352A"/>
    <w:multiLevelType w:val="hybridMultilevel"/>
    <w:tmpl w:val="949237B4"/>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E4E7BD1"/>
    <w:multiLevelType w:val="hybridMultilevel"/>
    <w:tmpl w:val="C382DBBC"/>
    <w:lvl w:ilvl="0" w:tplc="CC323FD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80817E3"/>
    <w:multiLevelType w:val="hybridMultilevel"/>
    <w:tmpl w:val="7A745B5A"/>
    <w:lvl w:ilvl="0" w:tplc="61C67C14">
      <w:start w:val="6"/>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4ECF1D42"/>
    <w:multiLevelType w:val="hybridMultilevel"/>
    <w:tmpl w:val="0FDA7FAE"/>
    <w:lvl w:ilvl="0" w:tplc="60700564">
      <w:start w:val="1"/>
      <w:numFmt w:val="bullet"/>
      <w:lvlText w:val="-"/>
      <w:lvlJc w:val="left"/>
      <w:pPr>
        <w:ind w:left="1065"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5C52CC4"/>
    <w:multiLevelType w:val="hybridMultilevel"/>
    <w:tmpl w:val="360E1FBC"/>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7">
    <w:nsid w:val="725D1A44"/>
    <w:multiLevelType w:val="hybridMultilevel"/>
    <w:tmpl w:val="AEFA1A04"/>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8">
    <w:nsid w:val="72CF3AB3"/>
    <w:multiLevelType w:val="hybridMultilevel"/>
    <w:tmpl w:val="0DEA3EBC"/>
    <w:lvl w:ilvl="0" w:tplc="EF984ACE">
      <w:numFmt w:val="bullet"/>
      <w:lvlText w:val="-"/>
      <w:lvlJc w:val="left"/>
      <w:pPr>
        <w:ind w:left="639"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7A990507"/>
    <w:multiLevelType w:val="hybridMultilevel"/>
    <w:tmpl w:val="B034579E"/>
    <w:lvl w:ilvl="0" w:tplc="213A129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2"/>
  </w:num>
  <w:num w:numId="2">
    <w:abstractNumId w:val="9"/>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3C59"/>
    <w:rsid w:val="00014103"/>
    <w:rsid w:val="00014D62"/>
    <w:rsid w:val="000166BD"/>
    <w:rsid w:val="00016E29"/>
    <w:rsid w:val="00017789"/>
    <w:rsid w:val="00020B23"/>
    <w:rsid w:val="00025B06"/>
    <w:rsid w:val="00026D23"/>
    <w:rsid w:val="000312DD"/>
    <w:rsid w:val="00036809"/>
    <w:rsid w:val="00036BC2"/>
    <w:rsid w:val="00041AD7"/>
    <w:rsid w:val="00043CE7"/>
    <w:rsid w:val="00044D21"/>
    <w:rsid w:val="00046D16"/>
    <w:rsid w:val="0004777A"/>
    <w:rsid w:val="000506CC"/>
    <w:rsid w:val="000523A2"/>
    <w:rsid w:val="00052C43"/>
    <w:rsid w:val="00052E9B"/>
    <w:rsid w:val="000533F0"/>
    <w:rsid w:val="00054B7B"/>
    <w:rsid w:val="00055B64"/>
    <w:rsid w:val="00055FF6"/>
    <w:rsid w:val="0006222A"/>
    <w:rsid w:val="00062F12"/>
    <w:rsid w:val="0007273D"/>
    <w:rsid w:val="00072F8E"/>
    <w:rsid w:val="00073681"/>
    <w:rsid w:val="000774C3"/>
    <w:rsid w:val="000819F9"/>
    <w:rsid w:val="00081FAB"/>
    <w:rsid w:val="00082349"/>
    <w:rsid w:val="00082FE8"/>
    <w:rsid w:val="00085745"/>
    <w:rsid w:val="00085EC1"/>
    <w:rsid w:val="00092FB5"/>
    <w:rsid w:val="00095D38"/>
    <w:rsid w:val="00096DD8"/>
    <w:rsid w:val="000A174B"/>
    <w:rsid w:val="000B1AA8"/>
    <w:rsid w:val="000B1B0E"/>
    <w:rsid w:val="000B2858"/>
    <w:rsid w:val="000B3DB6"/>
    <w:rsid w:val="000B59D5"/>
    <w:rsid w:val="000B7140"/>
    <w:rsid w:val="000B719D"/>
    <w:rsid w:val="000B74C3"/>
    <w:rsid w:val="000C045B"/>
    <w:rsid w:val="000C591E"/>
    <w:rsid w:val="000C6AED"/>
    <w:rsid w:val="000D221F"/>
    <w:rsid w:val="000D73D6"/>
    <w:rsid w:val="000E0D43"/>
    <w:rsid w:val="000E1281"/>
    <w:rsid w:val="000E16C4"/>
    <w:rsid w:val="000E6369"/>
    <w:rsid w:val="000F0366"/>
    <w:rsid w:val="000F0748"/>
    <w:rsid w:val="000F40FD"/>
    <w:rsid w:val="000F4198"/>
    <w:rsid w:val="000F4F0D"/>
    <w:rsid w:val="000F52BF"/>
    <w:rsid w:val="00100CA8"/>
    <w:rsid w:val="0010424D"/>
    <w:rsid w:val="00104FD4"/>
    <w:rsid w:val="00107162"/>
    <w:rsid w:val="00111420"/>
    <w:rsid w:val="00111AA5"/>
    <w:rsid w:val="00113240"/>
    <w:rsid w:val="0011382A"/>
    <w:rsid w:val="001144C6"/>
    <w:rsid w:val="0012164E"/>
    <w:rsid w:val="001224A9"/>
    <w:rsid w:val="00124697"/>
    <w:rsid w:val="00127022"/>
    <w:rsid w:val="001324A9"/>
    <w:rsid w:val="001352C5"/>
    <w:rsid w:val="001367AD"/>
    <w:rsid w:val="0014225D"/>
    <w:rsid w:val="001424B5"/>
    <w:rsid w:val="00144588"/>
    <w:rsid w:val="00154461"/>
    <w:rsid w:val="00154FEE"/>
    <w:rsid w:val="001560FF"/>
    <w:rsid w:val="0015749E"/>
    <w:rsid w:val="00164928"/>
    <w:rsid w:val="00165738"/>
    <w:rsid w:val="00172B99"/>
    <w:rsid w:val="00172CBE"/>
    <w:rsid w:val="001736D5"/>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019B"/>
    <w:rsid w:val="001B6BED"/>
    <w:rsid w:val="001B6D72"/>
    <w:rsid w:val="001C1D4B"/>
    <w:rsid w:val="001C30A0"/>
    <w:rsid w:val="001C3A38"/>
    <w:rsid w:val="001C5E59"/>
    <w:rsid w:val="001D02B2"/>
    <w:rsid w:val="001D1797"/>
    <w:rsid w:val="001D1DB4"/>
    <w:rsid w:val="001D3039"/>
    <w:rsid w:val="001E0C12"/>
    <w:rsid w:val="001E217F"/>
    <w:rsid w:val="001E5A41"/>
    <w:rsid w:val="001E6F3D"/>
    <w:rsid w:val="001F2D1F"/>
    <w:rsid w:val="001F5280"/>
    <w:rsid w:val="001F6B79"/>
    <w:rsid w:val="001F6E74"/>
    <w:rsid w:val="00200CB3"/>
    <w:rsid w:val="0020119D"/>
    <w:rsid w:val="0020270E"/>
    <w:rsid w:val="00203157"/>
    <w:rsid w:val="0020420C"/>
    <w:rsid w:val="00204CAA"/>
    <w:rsid w:val="002051A1"/>
    <w:rsid w:val="00210CE9"/>
    <w:rsid w:val="00211E76"/>
    <w:rsid w:val="00212E30"/>
    <w:rsid w:val="00215F20"/>
    <w:rsid w:val="002206A2"/>
    <w:rsid w:val="00222481"/>
    <w:rsid w:val="00227136"/>
    <w:rsid w:val="00232EB5"/>
    <w:rsid w:val="00233417"/>
    <w:rsid w:val="002344D3"/>
    <w:rsid w:val="00242340"/>
    <w:rsid w:val="00245607"/>
    <w:rsid w:val="0024700E"/>
    <w:rsid w:val="0024738A"/>
    <w:rsid w:val="0024792D"/>
    <w:rsid w:val="00260B94"/>
    <w:rsid w:val="00263994"/>
    <w:rsid w:val="00264CFC"/>
    <w:rsid w:val="00264EE1"/>
    <w:rsid w:val="0026529F"/>
    <w:rsid w:val="00267082"/>
    <w:rsid w:val="002672A8"/>
    <w:rsid w:val="00267EED"/>
    <w:rsid w:val="00274F32"/>
    <w:rsid w:val="00276A88"/>
    <w:rsid w:val="00277F78"/>
    <w:rsid w:val="002811BF"/>
    <w:rsid w:val="0028302C"/>
    <w:rsid w:val="002835F4"/>
    <w:rsid w:val="00286746"/>
    <w:rsid w:val="00291FF2"/>
    <w:rsid w:val="00291FF4"/>
    <w:rsid w:val="00292E77"/>
    <w:rsid w:val="00297CB8"/>
    <w:rsid w:val="002A018E"/>
    <w:rsid w:val="002A59B4"/>
    <w:rsid w:val="002A7FA0"/>
    <w:rsid w:val="002B1C01"/>
    <w:rsid w:val="002B23AB"/>
    <w:rsid w:val="002B4D5F"/>
    <w:rsid w:val="002B6D6F"/>
    <w:rsid w:val="002C41A7"/>
    <w:rsid w:val="002C46AC"/>
    <w:rsid w:val="002C7DE1"/>
    <w:rsid w:val="002D024A"/>
    <w:rsid w:val="002D1CD2"/>
    <w:rsid w:val="002D532C"/>
    <w:rsid w:val="002D5AC9"/>
    <w:rsid w:val="002D5C87"/>
    <w:rsid w:val="002D71B3"/>
    <w:rsid w:val="002E38F2"/>
    <w:rsid w:val="002E660D"/>
    <w:rsid w:val="002E7C2D"/>
    <w:rsid w:val="002F0A50"/>
    <w:rsid w:val="002F124B"/>
    <w:rsid w:val="002F1332"/>
    <w:rsid w:val="002F19AA"/>
    <w:rsid w:val="002F3A89"/>
    <w:rsid w:val="002F3EC7"/>
    <w:rsid w:val="002F627B"/>
    <w:rsid w:val="002F714E"/>
    <w:rsid w:val="003016C9"/>
    <w:rsid w:val="00305783"/>
    <w:rsid w:val="00305982"/>
    <w:rsid w:val="00314E55"/>
    <w:rsid w:val="003174EC"/>
    <w:rsid w:val="00322FD4"/>
    <w:rsid w:val="00323F5E"/>
    <w:rsid w:val="00324F03"/>
    <w:rsid w:val="003250B0"/>
    <w:rsid w:val="00326BC1"/>
    <w:rsid w:val="0033183F"/>
    <w:rsid w:val="003322BE"/>
    <w:rsid w:val="00332F91"/>
    <w:rsid w:val="00333284"/>
    <w:rsid w:val="003343B9"/>
    <w:rsid w:val="00336857"/>
    <w:rsid w:val="00336AD8"/>
    <w:rsid w:val="00337DB1"/>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18AB"/>
    <w:rsid w:val="00376B57"/>
    <w:rsid w:val="003771EB"/>
    <w:rsid w:val="00377BA0"/>
    <w:rsid w:val="003856B9"/>
    <w:rsid w:val="00385AE4"/>
    <w:rsid w:val="003865D3"/>
    <w:rsid w:val="00390399"/>
    <w:rsid w:val="0039313A"/>
    <w:rsid w:val="00397148"/>
    <w:rsid w:val="003A09C1"/>
    <w:rsid w:val="003A1A75"/>
    <w:rsid w:val="003A21A6"/>
    <w:rsid w:val="003A4536"/>
    <w:rsid w:val="003A70BF"/>
    <w:rsid w:val="003B2522"/>
    <w:rsid w:val="003B3A73"/>
    <w:rsid w:val="003B58FC"/>
    <w:rsid w:val="003C1474"/>
    <w:rsid w:val="003C27B7"/>
    <w:rsid w:val="003D106B"/>
    <w:rsid w:val="003D2B0A"/>
    <w:rsid w:val="003D3821"/>
    <w:rsid w:val="003D3C3A"/>
    <w:rsid w:val="003D65FC"/>
    <w:rsid w:val="003E5DFA"/>
    <w:rsid w:val="003F2A63"/>
    <w:rsid w:val="003F3319"/>
    <w:rsid w:val="003F533C"/>
    <w:rsid w:val="003F6172"/>
    <w:rsid w:val="0040137B"/>
    <w:rsid w:val="004016C0"/>
    <w:rsid w:val="0040340F"/>
    <w:rsid w:val="00404FE7"/>
    <w:rsid w:val="00407C9C"/>
    <w:rsid w:val="0041759E"/>
    <w:rsid w:val="00421217"/>
    <w:rsid w:val="0042690B"/>
    <w:rsid w:val="00426F20"/>
    <w:rsid w:val="00427121"/>
    <w:rsid w:val="004275C7"/>
    <w:rsid w:val="00433149"/>
    <w:rsid w:val="00433F66"/>
    <w:rsid w:val="00437633"/>
    <w:rsid w:val="00442DD3"/>
    <w:rsid w:val="00443BF4"/>
    <w:rsid w:val="00444A24"/>
    <w:rsid w:val="00447E34"/>
    <w:rsid w:val="0046445B"/>
    <w:rsid w:val="00465840"/>
    <w:rsid w:val="004667C3"/>
    <w:rsid w:val="0046700B"/>
    <w:rsid w:val="00470795"/>
    <w:rsid w:val="00471D70"/>
    <w:rsid w:val="004751DE"/>
    <w:rsid w:val="00476ED7"/>
    <w:rsid w:val="00477101"/>
    <w:rsid w:val="00484A27"/>
    <w:rsid w:val="00494357"/>
    <w:rsid w:val="00496801"/>
    <w:rsid w:val="00497743"/>
    <w:rsid w:val="00497FA1"/>
    <w:rsid w:val="004A06FE"/>
    <w:rsid w:val="004A0746"/>
    <w:rsid w:val="004A082F"/>
    <w:rsid w:val="004A3998"/>
    <w:rsid w:val="004A5D33"/>
    <w:rsid w:val="004A6F86"/>
    <w:rsid w:val="004B2C09"/>
    <w:rsid w:val="004B5200"/>
    <w:rsid w:val="004B5AAB"/>
    <w:rsid w:val="004B6BC5"/>
    <w:rsid w:val="004B6F31"/>
    <w:rsid w:val="004C0085"/>
    <w:rsid w:val="004C20E3"/>
    <w:rsid w:val="004C3B8B"/>
    <w:rsid w:val="004C44AB"/>
    <w:rsid w:val="004C4B8F"/>
    <w:rsid w:val="004D143A"/>
    <w:rsid w:val="004D1E41"/>
    <w:rsid w:val="004D3EAE"/>
    <w:rsid w:val="004D4E5E"/>
    <w:rsid w:val="004D530C"/>
    <w:rsid w:val="004E0317"/>
    <w:rsid w:val="004E3451"/>
    <w:rsid w:val="004E515E"/>
    <w:rsid w:val="004F0C83"/>
    <w:rsid w:val="004F1589"/>
    <w:rsid w:val="004F19B7"/>
    <w:rsid w:val="004F1B26"/>
    <w:rsid w:val="004F3F99"/>
    <w:rsid w:val="004F421A"/>
    <w:rsid w:val="004F4C4E"/>
    <w:rsid w:val="004F6826"/>
    <w:rsid w:val="005000DD"/>
    <w:rsid w:val="00500A57"/>
    <w:rsid w:val="00501156"/>
    <w:rsid w:val="005045D7"/>
    <w:rsid w:val="00506756"/>
    <w:rsid w:val="00513059"/>
    <w:rsid w:val="00515885"/>
    <w:rsid w:val="00517977"/>
    <w:rsid w:val="00522970"/>
    <w:rsid w:val="00524A10"/>
    <w:rsid w:val="005318B1"/>
    <w:rsid w:val="005329DB"/>
    <w:rsid w:val="00533F13"/>
    <w:rsid w:val="005347A4"/>
    <w:rsid w:val="00535FF8"/>
    <w:rsid w:val="00540DBB"/>
    <w:rsid w:val="00543702"/>
    <w:rsid w:val="00543F6B"/>
    <w:rsid w:val="00544C03"/>
    <w:rsid w:val="00547EEE"/>
    <w:rsid w:val="005534D2"/>
    <w:rsid w:val="00553AF2"/>
    <w:rsid w:val="005550DC"/>
    <w:rsid w:val="005578EA"/>
    <w:rsid w:val="005579DB"/>
    <w:rsid w:val="00563233"/>
    <w:rsid w:val="005644D9"/>
    <w:rsid w:val="00564935"/>
    <w:rsid w:val="00570C30"/>
    <w:rsid w:val="00572D30"/>
    <w:rsid w:val="005755AC"/>
    <w:rsid w:val="00576179"/>
    <w:rsid w:val="005823E9"/>
    <w:rsid w:val="00584328"/>
    <w:rsid w:val="00593041"/>
    <w:rsid w:val="005943B9"/>
    <w:rsid w:val="00594A4B"/>
    <w:rsid w:val="00595435"/>
    <w:rsid w:val="005A0805"/>
    <w:rsid w:val="005A65C6"/>
    <w:rsid w:val="005A6730"/>
    <w:rsid w:val="005A74C4"/>
    <w:rsid w:val="005A7524"/>
    <w:rsid w:val="005B1A0B"/>
    <w:rsid w:val="005C10B9"/>
    <w:rsid w:val="005C201F"/>
    <w:rsid w:val="005C4B1C"/>
    <w:rsid w:val="005C721A"/>
    <w:rsid w:val="005D076E"/>
    <w:rsid w:val="005D0829"/>
    <w:rsid w:val="005D58CC"/>
    <w:rsid w:val="005D7D0B"/>
    <w:rsid w:val="005E3A74"/>
    <w:rsid w:val="005F10E2"/>
    <w:rsid w:val="005F587B"/>
    <w:rsid w:val="005F67B8"/>
    <w:rsid w:val="005F7A50"/>
    <w:rsid w:val="005F7DFF"/>
    <w:rsid w:val="00605AD7"/>
    <w:rsid w:val="00610BB8"/>
    <w:rsid w:val="006148D1"/>
    <w:rsid w:val="006212A0"/>
    <w:rsid w:val="00625EF6"/>
    <w:rsid w:val="0062621C"/>
    <w:rsid w:val="0063318E"/>
    <w:rsid w:val="006362F7"/>
    <w:rsid w:val="00636813"/>
    <w:rsid w:val="00640A87"/>
    <w:rsid w:val="00641F7A"/>
    <w:rsid w:val="00643336"/>
    <w:rsid w:val="006458EE"/>
    <w:rsid w:val="006520D2"/>
    <w:rsid w:val="006538CC"/>
    <w:rsid w:val="00653AE1"/>
    <w:rsid w:val="00660004"/>
    <w:rsid w:val="00664FB5"/>
    <w:rsid w:val="0066530D"/>
    <w:rsid w:val="006666B6"/>
    <w:rsid w:val="00667679"/>
    <w:rsid w:val="006700E2"/>
    <w:rsid w:val="00670723"/>
    <w:rsid w:val="00671F9E"/>
    <w:rsid w:val="006745AC"/>
    <w:rsid w:val="006834AC"/>
    <w:rsid w:val="00683F91"/>
    <w:rsid w:val="0068484C"/>
    <w:rsid w:val="00684DF9"/>
    <w:rsid w:val="00687680"/>
    <w:rsid w:val="00690C2C"/>
    <w:rsid w:val="006940F7"/>
    <w:rsid w:val="00695A8D"/>
    <w:rsid w:val="006A36BA"/>
    <w:rsid w:val="006A5491"/>
    <w:rsid w:val="006A70D9"/>
    <w:rsid w:val="006B5122"/>
    <w:rsid w:val="006B5A8A"/>
    <w:rsid w:val="006C22B8"/>
    <w:rsid w:val="006C4DEF"/>
    <w:rsid w:val="006C57B1"/>
    <w:rsid w:val="006D4E17"/>
    <w:rsid w:val="006D7BF6"/>
    <w:rsid w:val="006E03CB"/>
    <w:rsid w:val="006E1B01"/>
    <w:rsid w:val="006E2F75"/>
    <w:rsid w:val="006E4BA0"/>
    <w:rsid w:val="006E4E0A"/>
    <w:rsid w:val="006E4EE0"/>
    <w:rsid w:val="006E6377"/>
    <w:rsid w:val="006E6D15"/>
    <w:rsid w:val="006F1095"/>
    <w:rsid w:val="006F587C"/>
    <w:rsid w:val="006F6789"/>
    <w:rsid w:val="006F72BB"/>
    <w:rsid w:val="00700BD8"/>
    <w:rsid w:val="007043D3"/>
    <w:rsid w:val="00704F5D"/>
    <w:rsid w:val="007058B0"/>
    <w:rsid w:val="00710C15"/>
    <w:rsid w:val="0072151F"/>
    <w:rsid w:val="00721FD6"/>
    <w:rsid w:val="00726273"/>
    <w:rsid w:val="0072789D"/>
    <w:rsid w:val="00727F46"/>
    <w:rsid w:val="00730129"/>
    <w:rsid w:val="00730C47"/>
    <w:rsid w:val="007311F7"/>
    <w:rsid w:val="00731BB8"/>
    <w:rsid w:val="007323A8"/>
    <w:rsid w:val="00733292"/>
    <w:rsid w:val="007352F8"/>
    <w:rsid w:val="00736094"/>
    <w:rsid w:val="007423CD"/>
    <w:rsid w:val="00750F1B"/>
    <w:rsid w:val="0075258B"/>
    <w:rsid w:val="00753E28"/>
    <w:rsid w:val="00753E89"/>
    <w:rsid w:val="00754E96"/>
    <w:rsid w:val="007566B4"/>
    <w:rsid w:val="00756B06"/>
    <w:rsid w:val="007574E1"/>
    <w:rsid w:val="00761E22"/>
    <w:rsid w:val="00762F2B"/>
    <w:rsid w:val="00763107"/>
    <w:rsid w:val="00763E59"/>
    <w:rsid w:val="00763E84"/>
    <w:rsid w:val="007655D4"/>
    <w:rsid w:val="00765CA4"/>
    <w:rsid w:val="00774393"/>
    <w:rsid w:val="00780BEB"/>
    <w:rsid w:val="007814C9"/>
    <w:rsid w:val="00782673"/>
    <w:rsid w:val="007862B3"/>
    <w:rsid w:val="00787A4B"/>
    <w:rsid w:val="00794262"/>
    <w:rsid w:val="00797015"/>
    <w:rsid w:val="007A3D13"/>
    <w:rsid w:val="007A4B1B"/>
    <w:rsid w:val="007A7FBA"/>
    <w:rsid w:val="007B188E"/>
    <w:rsid w:val="007B2CF4"/>
    <w:rsid w:val="007B3ED2"/>
    <w:rsid w:val="007B7815"/>
    <w:rsid w:val="007C03D7"/>
    <w:rsid w:val="007C1CBE"/>
    <w:rsid w:val="007C2B40"/>
    <w:rsid w:val="007C3003"/>
    <w:rsid w:val="007C34AE"/>
    <w:rsid w:val="007C6354"/>
    <w:rsid w:val="007C67B6"/>
    <w:rsid w:val="007C715C"/>
    <w:rsid w:val="007D0A39"/>
    <w:rsid w:val="007D3507"/>
    <w:rsid w:val="007D5352"/>
    <w:rsid w:val="007D7673"/>
    <w:rsid w:val="007D7ED6"/>
    <w:rsid w:val="007E44AB"/>
    <w:rsid w:val="007F2013"/>
    <w:rsid w:val="007F41D7"/>
    <w:rsid w:val="007F4F3F"/>
    <w:rsid w:val="008005E2"/>
    <w:rsid w:val="008022A0"/>
    <w:rsid w:val="008056AD"/>
    <w:rsid w:val="008066C5"/>
    <w:rsid w:val="008073FF"/>
    <w:rsid w:val="00807DBC"/>
    <w:rsid w:val="00810E07"/>
    <w:rsid w:val="008119A1"/>
    <w:rsid w:val="00811E64"/>
    <w:rsid w:val="008120F8"/>
    <w:rsid w:val="00812A3E"/>
    <w:rsid w:val="00813A9A"/>
    <w:rsid w:val="00816CF2"/>
    <w:rsid w:val="00821E71"/>
    <w:rsid w:val="00821F02"/>
    <w:rsid w:val="008243A3"/>
    <w:rsid w:val="008304FD"/>
    <w:rsid w:val="008307BA"/>
    <w:rsid w:val="00830929"/>
    <w:rsid w:val="00833069"/>
    <w:rsid w:val="00834563"/>
    <w:rsid w:val="0083559D"/>
    <w:rsid w:val="00836262"/>
    <w:rsid w:val="00837E8E"/>
    <w:rsid w:val="008416EB"/>
    <w:rsid w:val="00842351"/>
    <w:rsid w:val="0084445A"/>
    <w:rsid w:val="008446CE"/>
    <w:rsid w:val="008473DC"/>
    <w:rsid w:val="00847A2C"/>
    <w:rsid w:val="00847D1E"/>
    <w:rsid w:val="008523B7"/>
    <w:rsid w:val="00857998"/>
    <w:rsid w:val="00860413"/>
    <w:rsid w:val="00861473"/>
    <w:rsid w:val="00863784"/>
    <w:rsid w:val="00863BC4"/>
    <w:rsid w:val="008648DB"/>
    <w:rsid w:val="008738CC"/>
    <w:rsid w:val="00880850"/>
    <w:rsid w:val="00881C23"/>
    <w:rsid w:val="00884BA1"/>
    <w:rsid w:val="0088620D"/>
    <w:rsid w:val="00887141"/>
    <w:rsid w:val="008876DD"/>
    <w:rsid w:val="00893909"/>
    <w:rsid w:val="00895648"/>
    <w:rsid w:val="0089768A"/>
    <w:rsid w:val="008A07F1"/>
    <w:rsid w:val="008A14C5"/>
    <w:rsid w:val="008A1CD3"/>
    <w:rsid w:val="008A7908"/>
    <w:rsid w:val="008A794C"/>
    <w:rsid w:val="008B04D8"/>
    <w:rsid w:val="008B1FC0"/>
    <w:rsid w:val="008B4BE3"/>
    <w:rsid w:val="008B5A33"/>
    <w:rsid w:val="008B6347"/>
    <w:rsid w:val="008B6FF9"/>
    <w:rsid w:val="008B78F5"/>
    <w:rsid w:val="008B7C6A"/>
    <w:rsid w:val="008C2340"/>
    <w:rsid w:val="008C32BA"/>
    <w:rsid w:val="008C363E"/>
    <w:rsid w:val="008C4268"/>
    <w:rsid w:val="008C4394"/>
    <w:rsid w:val="008C50C8"/>
    <w:rsid w:val="008C5ACA"/>
    <w:rsid w:val="008C65F0"/>
    <w:rsid w:val="008C7778"/>
    <w:rsid w:val="008C784B"/>
    <w:rsid w:val="008D3021"/>
    <w:rsid w:val="008D45BD"/>
    <w:rsid w:val="008D47A6"/>
    <w:rsid w:val="008E072C"/>
    <w:rsid w:val="008E116A"/>
    <w:rsid w:val="008E4A7E"/>
    <w:rsid w:val="008E61A1"/>
    <w:rsid w:val="008E6486"/>
    <w:rsid w:val="008E74BB"/>
    <w:rsid w:val="008F1502"/>
    <w:rsid w:val="008F39C0"/>
    <w:rsid w:val="008F6723"/>
    <w:rsid w:val="008F7D18"/>
    <w:rsid w:val="009000A0"/>
    <w:rsid w:val="00900DA5"/>
    <w:rsid w:val="00907C4E"/>
    <w:rsid w:val="00911DBE"/>
    <w:rsid w:val="009123FC"/>
    <w:rsid w:val="00912FAE"/>
    <w:rsid w:val="0091455F"/>
    <w:rsid w:val="00914639"/>
    <w:rsid w:val="00916C48"/>
    <w:rsid w:val="00920ACD"/>
    <w:rsid w:val="00925E4D"/>
    <w:rsid w:val="0093080C"/>
    <w:rsid w:val="009341A1"/>
    <w:rsid w:val="00934AA4"/>
    <w:rsid w:val="009403ED"/>
    <w:rsid w:val="00941E71"/>
    <w:rsid w:val="00942A8E"/>
    <w:rsid w:val="00943BA4"/>
    <w:rsid w:val="00946576"/>
    <w:rsid w:val="00947AE5"/>
    <w:rsid w:val="00947D37"/>
    <w:rsid w:val="00953A22"/>
    <w:rsid w:val="0095410A"/>
    <w:rsid w:val="00956395"/>
    <w:rsid w:val="00960AFB"/>
    <w:rsid w:val="00970F6C"/>
    <w:rsid w:val="00973B15"/>
    <w:rsid w:val="0097580C"/>
    <w:rsid w:val="009833EC"/>
    <w:rsid w:val="00986A0F"/>
    <w:rsid w:val="00987C32"/>
    <w:rsid w:val="00990062"/>
    <w:rsid w:val="00990964"/>
    <w:rsid w:val="00990CB3"/>
    <w:rsid w:val="00991E9D"/>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D1D0B"/>
    <w:rsid w:val="009D55C8"/>
    <w:rsid w:val="009D6048"/>
    <w:rsid w:val="009E0038"/>
    <w:rsid w:val="009E3426"/>
    <w:rsid w:val="009E3CB1"/>
    <w:rsid w:val="009F28D9"/>
    <w:rsid w:val="009F4A1C"/>
    <w:rsid w:val="00A1083B"/>
    <w:rsid w:val="00A12A80"/>
    <w:rsid w:val="00A14463"/>
    <w:rsid w:val="00A23FDC"/>
    <w:rsid w:val="00A24721"/>
    <w:rsid w:val="00A24D61"/>
    <w:rsid w:val="00A2559D"/>
    <w:rsid w:val="00A2623E"/>
    <w:rsid w:val="00A268E1"/>
    <w:rsid w:val="00A30DCE"/>
    <w:rsid w:val="00A311B7"/>
    <w:rsid w:val="00A3770D"/>
    <w:rsid w:val="00A406D7"/>
    <w:rsid w:val="00A40DD2"/>
    <w:rsid w:val="00A42C92"/>
    <w:rsid w:val="00A450B7"/>
    <w:rsid w:val="00A512FF"/>
    <w:rsid w:val="00A522D9"/>
    <w:rsid w:val="00A5524C"/>
    <w:rsid w:val="00A56B28"/>
    <w:rsid w:val="00A570FA"/>
    <w:rsid w:val="00A624F2"/>
    <w:rsid w:val="00A64051"/>
    <w:rsid w:val="00A642AC"/>
    <w:rsid w:val="00A7176A"/>
    <w:rsid w:val="00A73C75"/>
    <w:rsid w:val="00A74809"/>
    <w:rsid w:val="00A75A05"/>
    <w:rsid w:val="00A77A36"/>
    <w:rsid w:val="00A86ED7"/>
    <w:rsid w:val="00A90574"/>
    <w:rsid w:val="00A90A05"/>
    <w:rsid w:val="00A95572"/>
    <w:rsid w:val="00AA2202"/>
    <w:rsid w:val="00AA2398"/>
    <w:rsid w:val="00AA4A4C"/>
    <w:rsid w:val="00AA4D7B"/>
    <w:rsid w:val="00AA5758"/>
    <w:rsid w:val="00AA6EE8"/>
    <w:rsid w:val="00AB2A5F"/>
    <w:rsid w:val="00AB2F53"/>
    <w:rsid w:val="00AD2959"/>
    <w:rsid w:val="00AD4073"/>
    <w:rsid w:val="00AE305D"/>
    <w:rsid w:val="00AE3774"/>
    <w:rsid w:val="00AF01C0"/>
    <w:rsid w:val="00AF236D"/>
    <w:rsid w:val="00AF3E84"/>
    <w:rsid w:val="00AF490F"/>
    <w:rsid w:val="00AF54F2"/>
    <w:rsid w:val="00B043C0"/>
    <w:rsid w:val="00B04445"/>
    <w:rsid w:val="00B06120"/>
    <w:rsid w:val="00B10E73"/>
    <w:rsid w:val="00B14077"/>
    <w:rsid w:val="00B14162"/>
    <w:rsid w:val="00B14371"/>
    <w:rsid w:val="00B14D7F"/>
    <w:rsid w:val="00B15268"/>
    <w:rsid w:val="00B17E4A"/>
    <w:rsid w:val="00B2045C"/>
    <w:rsid w:val="00B2126E"/>
    <w:rsid w:val="00B21CCC"/>
    <w:rsid w:val="00B225A4"/>
    <w:rsid w:val="00B22F57"/>
    <w:rsid w:val="00B22F61"/>
    <w:rsid w:val="00B307D8"/>
    <w:rsid w:val="00B3129A"/>
    <w:rsid w:val="00B315D8"/>
    <w:rsid w:val="00B32C69"/>
    <w:rsid w:val="00B33448"/>
    <w:rsid w:val="00B37E9D"/>
    <w:rsid w:val="00B531EB"/>
    <w:rsid w:val="00B534AC"/>
    <w:rsid w:val="00B56A9E"/>
    <w:rsid w:val="00B611DB"/>
    <w:rsid w:val="00B7100A"/>
    <w:rsid w:val="00B74848"/>
    <w:rsid w:val="00B81824"/>
    <w:rsid w:val="00B83058"/>
    <w:rsid w:val="00B84ADB"/>
    <w:rsid w:val="00B86891"/>
    <w:rsid w:val="00B86D3E"/>
    <w:rsid w:val="00B90A53"/>
    <w:rsid w:val="00B90D49"/>
    <w:rsid w:val="00B915B1"/>
    <w:rsid w:val="00B9236B"/>
    <w:rsid w:val="00B934A9"/>
    <w:rsid w:val="00B9671F"/>
    <w:rsid w:val="00B96E56"/>
    <w:rsid w:val="00B972A5"/>
    <w:rsid w:val="00BA1362"/>
    <w:rsid w:val="00BA244D"/>
    <w:rsid w:val="00BA4CCC"/>
    <w:rsid w:val="00BA5933"/>
    <w:rsid w:val="00BA5A9F"/>
    <w:rsid w:val="00BA6753"/>
    <w:rsid w:val="00BA7A7D"/>
    <w:rsid w:val="00BB0134"/>
    <w:rsid w:val="00BB0947"/>
    <w:rsid w:val="00BB1DB8"/>
    <w:rsid w:val="00BC6937"/>
    <w:rsid w:val="00BC6E86"/>
    <w:rsid w:val="00BD040C"/>
    <w:rsid w:val="00BD6473"/>
    <w:rsid w:val="00BD686E"/>
    <w:rsid w:val="00BE2F88"/>
    <w:rsid w:val="00BE3097"/>
    <w:rsid w:val="00BE3795"/>
    <w:rsid w:val="00BE6929"/>
    <w:rsid w:val="00C000B8"/>
    <w:rsid w:val="00C0021A"/>
    <w:rsid w:val="00C04528"/>
    <w:rsid w:val="00C0702B"/>
    <w:rsid w:val="00C17852"/>
    <w:rsid w:val="00C17E64"/>
    <w:rsid w:val="00C21926"/>
    <w:rsid w:val="00C21F4E"/>
    <w:rsid w:val="00C25162"/>
    <w:rsid w:val="00C269C4"/>
    <w:rsid w:val="00C309FD"/>
    <w:rsid w:val="00C30F9F"/>
    <w:rsid w:val="00C3103C"/>
    <w:rsid w:val="00C32B19"/>
    <w:rsid w:val="00C33521"/>
    <w:rsid w:val="00C35C87"/>
    <w:rsid w:val="00C37B64"/>
    <w:rsid w:val="00C4177E"/>
    <w:rsid w:val="00C435FA"/>
    <w:rsid w:val="00C46B88"/>
    <w:rsid w:val="00C51479"/>
    <w:rsid w:val="00C55EB9"/>
    <w:rsid w:val="00C56083"/>
    <w:rsid w:val="00C570E9"/>
    <w:rsid w:val="00C62FBF"/>
    <w:rsid w:val="00C65FD7"/>
    <w:rsid w:val="00C73052"/>
    <w:rsid w:val="00C73125"/>
    <w:rsid w:val="00C7466A"/>
    <w:rsid w:val="00C7734D"/>
    <w:rsid w:val="00C808A3"/>
    <w:rsid w:val="00C819C9"/>
    <w:rsid w:val="00C82284"/>
    <w:rsid w:val="00C82CFA"/>
    <w:rsid w:val="00C831C7"/>
    <w:rsid w:val="00C84397"/>
    <w:rsid w:val="00C84BAF"/>
    <w:rsid w:val="00C86565"/>
    <w:rsid w:val="00C86A41"/>
    <w:rsid w:val="00C872C7"/>
    <w:rsid w:val="00C87AC6"/>
    <w:rsid w:val="00C90FB7"/>
    <w:rsid w:val="00C916C7"/>
    <w:rsid w:val="00C966DC"/>
    <w:rsid w:val="00CA345E"/>
    <w:rsid w:val="00CA71F9"/>
    <w:rsid w:val="00CB1E1C"/>
    <w:rsid w:val="00CB383E"/>
    <w:rsid w:val="00CB7553"/>
    <w:rsid w:val="00CC30B4"/>
    <w:rsid w:val="00CC64D7"/>
    <w:rsid w:val="00CD06F2"/>
    <w:rsid w:val="00CD07BD"/>
    <w:rsid w:val="00CD121A"/>
    <w:rsid w:val="00CD36C5"/>
    <w:rsid w:val="00CD3701"/>
    <w:rsid w:val="00CD432E"/>
    <w:rsid w:val="00CD6940"/>
    <w:rsid w:val="00CD7467"/>
    <w:rsid w:val="00CE1363"/>
    <w:rsid w:val="00CE2F64"/>
    <w:rsid w:val="00CE4FCE"/>
    <w:rsid w:val="00CE6AD6"/>
    <w:rsid w:val="00CE7D6C"/>
    <w:rsid w:val="00CF0129"/>
    <w:rsid w:val="00CF1DED"/>
    <w:rsid w:val="00CF4160"/>
    <w:rsid w:val="00CF44F9"/>
    <w:rsid w:val="00CF7B78"/>
    <w:rsid w:val="00D02BF2"/>
    <w:rsid w:val="00D04C06"/>
    <w:rsid w:val="00D079AB"/>
    <w:rsid w:val="00D1078C"/>
    <w:rsid w:val="00D116F1"/>
    <w:rsid w:val="00D11A3D"/>
    <w:rsid w:val="00D12926"/>
    <w:rsid w:val="00D12FA8"/>
    <w:rsid w:val="00D13C49"/>
    <w:rsid w:val="00D1660A"/>
    <w:rsid w:val="00D228B4"/>
    <w:rsid w:val="00D24E29"/>
    <w:rsid w:val="00D26F2D"/>
    <w:rsid w:val="00D33159"/>
    <w:rsid w:val="00D34E76"/>
    <w:rsid w:val="00D3527E"/>
    <w:rsid w:val="00D43093"/>
    <w:rsid w:val="00D4504D"/>
    <w:rsid w:val="00D461E1"/>
    <w:rsid w:val="00D47CEA"/>
    <w:rsid w:val="00D5148B"/>
    <w:rsid w:val="00D5310A"/>
    <w:rsid w:val="00D53363"/>
    <w:rsid w:val="00D5377E"/>
    <w:rsid w:val="00D5770F"/>
    <w:rsid w:val="00D577E7"/>
    <w:rsid w:val="00D57B54"/>
    <w:rsid w:val="00D605BB"/>
    <w:rsid w:val="00D67E97"/>
    <w:rsid w:val="00D70BA9"/>
    <w:rsid w:val="00D731CE"/>
    <w:rsid w:val="00D74626"/>
    <w:rsid w:val="00D76B45"/>
    <w:rsid w:val="00D7727C"/>
    <w:rsid w:val="00D80187"/>
    <w:rsid w:val="00D8046E"/>
    <w:rsid w:val="00D825A9"/>
    <w:rsid w:val="00D83BFF"/>
    <w:rsid w:val="00D84EA0"/>
    <w:rsid w:val="00D86226"/>
    <w:rsid w:val="00D92B8B"/>
    <w:rsid w:val="00DA297D"/>
    <w:rsid w:val="00DA2F48"/>
    <w:rsid w:val="00DB36A0"/>
    <w:rsid w:val="00DB3993"/>
    <w:rsid w:val="00DB5436"/>
    <w:rsid w:val="00DB7707"/>
    <w:rsid w:val="00DB7A89"/>
    <w:rsid w:val="00DC5297"/>
    <w:rsid w:val="00DD0CA4"/>
    <w:rsid w:val="00DD2A83"/>
    <w:rsid w:val="00DD3225"/>
    <w:rsid w:val="00DE4563"/>
    <w:rsid w:val="00DE458D"/>
    <w:rsid w:val="00DE607F"/>
    <w:rsid w:val="00DF11BA"/>
    <w:rsid w:val="00DF1E47"/>
    <w:rsid w:val="00DF429A"/>
    <w:rsid w:val="00DF7066"/>
    <w:rsid w:val="00E0028B"/>
    <w:rsid w:val="00E02A78"/>
    <w:rsid w:val="00E131E5"/>
    <w:rsid w:val="00E134A5"/>
    <w:rsid w:val="00E14128"/>
    <w:rsid w:val="00E14131"/>
    <w:rsid w:val="00E144EF"/>
    <w:rsid w:val="00E24CBC"/>
    <w:rsid w:val="00E275CE"/>
    <w:rsid w:val="00E27DD0"/>
    <w:rsid w:val="00E3380E"/>
    <w:rsid w:val="00E37CFC"/>
    <w:rsid w:val="00E415F7"/>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4D04"/>
    <w:rsid w:val="00E84DAE"/>
    <w:rsid w:val="00E854E4"/>
    <w:rsid w:val="00E876F9"/>
    <w:rsid w:val="00E879A1"/>
    <w:rsid w:val="00E935B8"/>
    <w:rsid w:val="00E946CE"/>
    <w:rsid w:val="00E95213"/>
    <w:rsid w:val="00E95EBE"/>
    <w:rsid w:val="00E95F91"/>
    <w:rsid w:val="00EA0524"/>
    <w:rsid w:val="00EA052D"/>
    <w:rsid w:val="00EA1343"/>
    <w:rsid w:val="00EA325C"/>
    <w:rsid w:val="00EA490D"/>
    <w:rsid w:val="00EA6507"/>
    <w:rsid w:val="00EA73F5"/>
    <w:rsid w:val="00EB0E13"/>
    <w:rsid w:val="00EB0EA7"/>
    <w:rsid w:val="00EB3E98"/>
    <w:rsid w:val="00EB4983"/>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0CF0"/>
    <w:rsid w:val="00F02794"/>
    <w:rsid w:val="00F06816"/>
    <w:rsid w:val="00F06F5C"/>
    <w:rsid w:val="00F07960"/>
    <w:rsid w:val="00F15415"/>
    <w:rsid w:val="00F15501"/>
    <w:rsid w:val="00F1751A"/>
    <w:rsid w:val="00F22EA3"/>
    <w:rsid w:val="00F277D2"/>
    <w:rsid w:val="00F27F52"/>
    <w:rsid w:val="00F32B95"/>
    <w:rsid w:val="00F336BC"/>
    <w:rsid w:val="00F363A9"/>
    <w:rsid w:val="00F367FE"/>
    <w:rsid w:val="00F429C2"/>
    <w:rsid w:val="00F46C17"/>
    <w:rsid w:val="00F46E79"/>
    <w:rsid w:val="00F5143E"/>
    <w:rsid w:val="00F53FFE"/>
    <w:rsid w:val="00F5418B"/>
    <w:rsid w:val="00F6005E"/>
    <w:rsid w:val="00F6171C"/>
    <w:rsid w:val="00F62F12"/>
    <w:rsid w:val="00F6348A"/>
    <w:rsid w:val="00F64B38"/>
    <w:rsid w:val="00F70DDF"/>
    <w:rsid w:val="00F732C7"/>
    <w:rsid w:val="00F73A53"/>
    <w:rsid w:val="00F74546"/>
    <w:rsid w:val="00F751AA"/>
    <w:rsid w:val="00F80E87"/>
    <w:rsid w:val="00F81D3D"/>
    <w:rsid w:val="00F869CC"/>
    <w:rsid w:val="00F90930"/>
    <w:rsid w:val="00F90C5A"/>
    <w:rsid w:val="00F90CEC"/>
    <w:rsid w:val="00F911B9"/>
    <w:rsid w:val="00F93519"/>
    <w:rsid w:val="00F941A9"/>
    <w:rsid w:val="00F9544B"/>
    <w:rsid w:val="00F96FF5"/>
    <w:rsid w:val="00FA4605"/>
    <w:rsid w:val="00FA606A"/>
    <w:rsid w:val="00FA697D"/>
    <w:rsid w:val="00FA7CB4"/>
    <w:rsid w:val="00FB1C4B"/>
    <w:rsid w:val="00FB715D"/>
    <w:rsid w:val="00FB7D0D"/>
    <w:rsid w:val="00FC3D54"/>
    <w:rsid w:val="00FC4FD2"/>
    <w:rsid w:val="00FC5FA6"/>
    <w:rsid w:val="00FC7CCF"/>
    <w:rsid w:val="00FD663F"/>
    <w:rsid w:val="00FD73CC"/>
    <w:rsid w:val="00FD753D"/>
    <w:rsid w:val="00FD75AE"/>
    <w:rsid w:val="00FD7AD2"/>
    <w:rsid w:val="00FD7C2B"/>
    <w:rsid w:val="00FD7FE1"/>
    <w:rsid w:val="00FE6AF1"/>
    <w:rsid w:val="00FE788D"/>
    <w:rsid w:val="00FF30CA"/>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CD36C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character" w:customStyle="1" w:styleId="Titre3Car">
    <w:name w:val="Titre 3 Car"/>
    <w:basedOn w:val="Policepardfaut"/>
    <w:link w:val="Titre3"/>
    <w:uiPriority w:val="9"/>
    <w:semiHidden/>
    <w:rsid w:val="00CD36C5"/>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CD36C5"/>
    <w:pPr>
      <w:suppressAutoHyphens/>
      <w:spacing w:after="200" w:line="276" w:lineRule="auto"/>
      <w:ind w:left="720"/>
      <w:contextualSpacing/>
    </w:pPr>
    <w:rPr>
      <w:rFonts w:ascii="Times New Roman" w:eastAsia="SimSun" w:hAnsi="Times New Roman" w:cs="Mangal"/>
      <w:kern w:val="1"/>
      <w:sz w:val="24"/>
      <w:szCs w:val="21"/>
      <w:lang w:eastAsia="hi-IN" w:bidi="hi-IN"/>
    </w:rPr>
  </w:style>
  <w:style w:type="table" w:styleId="Grilledutableau">
    <w:name w:val="Table Grid"/>
    <w:basedOn w:val="TableauNormal"/>
    <w:uiPriority w:val="59"/>
    <w:rsid w:val="00CD7467"/>
    <w:rPr>
      <w:rFonts w:ascii="Times New Roman" w:eastAsiaTheme="minorHAnsi" w:hAnsi="Times New Roman"/>
      <w:lang w:eastAsia="en-US"/>
    </w:rPr>
    <w:tblPr>
      <w:tblInd w:w="0" w:type="dxa"/>
      <w:tblBorders>
        <w:top w:val="single" w:sz="4" w:space="0" w:color="000080" w:themeColor="text1"/>
        <w:left w:val="single" w:sz="4" w:space="0" w:color="000080" w:themeColor="text1"/>
        <w:bottom w:val="single" w:sz="4" w:space="0" w:color="000080" w:themeColor="text1"/>
        <w:right w:val="single" w:sz="4" w:space="0" w:color="000080" w:themeColor="text1"/>
        <w:insideH w:val="single" w:sz="4" w:space="0" w:color="000080" w:themeColor="text1"/>
        <w:insideV w:val="single" w:sz="4" w:space="0" w:color="00008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87435650">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5948095">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25510257">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5976049">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1799033">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49200639">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59802277">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09987771">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7562010">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43678203">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7727607">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17335937">
      <w:bodyDiv w:val="1"/>
      <w:marLeft w:val="0"/>
      <w:marRight w:val="0"/>
      <w:marTop w:val="0"/>
      <w:marBottom w:val="0"/>
      <w:divBdr>
        <w:top w:val="none" w:sz="0" w:space="0" w:color="auto"/>
        <w:left w:val="none" w:sz="0" w:space="0" w:color="auto"/>
        <w:bottom w:val="none" w:sz="0" w:space="0" w:color="auto"/>
        <w:right w:val="none" w:sz="0" w:space="0" w:color="auto"/>
      </w:divBdr>
    </w:div>
    <w:div w:id="42573756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8374343">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65863481">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7687049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0057868">
      <w:bodyDiv w:val="1"/>
      <w:marLeft w:val="0"/>
      <w:marRight w:val="0"/>
      <w:marTop w:val="0"/>
      <w:marBottom w:val="0"/>
      <w:divBdr>
        <w:top w:val="none" w:sz="0" w:space="0" w:color="auto"/>
        <w:left w:val="none" w:sz="0" w:space="0" w:color="auto"/>
        <w:bottom w:val="none" w:sz="0" w:space="0" w:color="auto"/>
        <w:right w:val="none" w:sz="0" w:space="0" w:color="auto"/>
      </w:divBdr>
    </w:div>
    <w:div w:id="790981649">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1482784">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0700958">
      <w:bodyDiv w:val="1"/>
      <w:marLeft w:val="0"/>
      <w:marRight w:val="0"/>
      <w:marTop w:val="0"/>
      <w:marBottom w:val="0"/>
      <w:divBdr>
        <w:top w:val="none" w:sz="0" w:space="0" w:color="auto"/>
        <w:left w:val="none" w:sz="0" w:space="0" w:color="auto"/>
        <w:bottom w:val="none" w:sz="0" w:space="0" w:color="auto"/>
        <w:right w:val="none" w:sz="0" w:space="0" w:color="auto"/>
      </w:divBdr>
    </w:div>
    <w:div w:id="840895362">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68295671">
      <w:bodyDiv w:val="1"/>
      <w:marLeft w:val="0"/>
      <w:marRight w:val="0"/>
      <w:marTop w:val="0"/>
      <w:marBottom w:val="0"/>
      <w:divBdr>
        <w:top w:val="none" w:sz="0" w:space="0" w:color="auto"/>
        <w:left w:val="none" w:sz="0" w:space="0" w:color="auto"/>
        <w:bottom w:val="none" w:sz="0" w:space="0" w:color="auto"/>
        <w:right w:val="none" w:sz="0" w:space="0" w:color="auto"/>
      </w:divBdr>
    </w:div>
    <w:div w:id="877358396">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13247618">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0630993">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5626129">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4656289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0513237">
      <w:bodyDiv w:val="1"/>
      <w:marLeft w:val="0"/>
      <w:marRight w:val="0"/>
      <w:marTop w:val="0"/>
      <w:marBottom w:val="0"/>
      <w:divBdr>
        <w:top w:val="none" w:sz="0" w:space="0" w:color="auto"/>
        <w:left w:val="none" w:sz="0" w:space="0" w:color="auto"/>
        <w:bottom w:val="none" w:sz="0" w:space="0" w:color="auto"/>
        <w:right w:val="none" w:sz="0" w:space="0" w:color="auto"/>
      </w:divBdr>
    </w:div>
    <w:div w:id="1113204338">
      <w:bodyDiv w:val="1"/>
      <w:marLeft w:val="0"/>
      <w:marRight w:val="0"/>
      <w:marTop w:val="0"/>
      <w:marBottom w:val="0"/>
      <w:divBdr>
        <w:top w:val="none" w:sz="0" w:space="0" w:color="auto"/>
        <w:left w:val="none" w:sz="0" w:space="0" w:color="auto"/>
        <w:bottom w:val="none" w:sz="0" w:space="0" w:color="auto"/>
        <w:right w:val="none" w:sz="0" w:space="0" w:color="auto"/>
      </w:divBdr>
    </w:div>
    <w:div w:id="1117986323">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6240795">
      <w:bodyDiv w:val="1"/>
      <w:marLeft w:val="0"/>
      <w:marRight w:val="0"/>
      <w:marTop w:val="0"/>
      <w:marBottom w:val="0"/>
      <w:divBdr>
        <w:top w:val="none" w:sz="0" w:space="0" w:color="auto"/>
        <w:left w:val="none" w:sz="0" w:space="0" w:color="auto"/>
        <w:bottom w:val="none" w:sz="0" w:space="0" w:color="auto"/>
        <w:right w:val="none" w:sz="0" w:space="0" w:color="auto"/>
      </w:divBdr>
    </w:div>
    <w:div w:id="1128552870">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388199">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067130">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5503781">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302048">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2391641">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1057166">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37870380">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57604566">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42279387">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7205117">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67257154">
      <w:bodyDiv w:val="1"/>
      <w:marLeft w:val="0"/>
      <w:marRight w:val="0"/>
      <w:marTop w:val="0"/>
      <w:marBottom w:val="0"/>
      <w:divBdr>
        <w:top w:val="none" w:sz="0" w:space="0" w:color="auto"/>
        <w:left w:val="none" w:sz="0" w:space="0" w:color="auto"/>
        <w:bottom w:val="none" w:sz="0" w:space="0" w:color="auto"/>
        <w:right w:val="none" w:sz="0" w:space="0" w:color="auto"/>
      </w:divBdr>
    </w:div>
    <w:div w:id="1583100561">
      <w:bodyDiv w:val="1"/>
      <w:marLeft w:val="0"/>
      <w:marRight w:val="0"/>
      <w:marTop w:val="0"/>
      <w:marBottom w:val="0"/>
      <w:divBdr>
        <w:top w:val="none" w:sz="0" w:space="0" w:color="auto"/>
        <w:left w:val="none" w:sz="0" w:space="0" w:color="auto"/>
        <w:bottom w:val="none" w:sz="0" w:space="0" w:color="auto"/>
        <w:right w:val="none" w:sz="0" w:space="0" w:color="auto"/>
      </w:divBdr>
    </w:div>
    <w:div w:id="1584220547">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6869988">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25381828">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3634640">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55403583">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66057390">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1321428">
      <w:bodyDiv w:val="1"/>
      <w:marLeft w:val="0"/>
      <w:marRight w:val="0"/>
      <w:marTop w:val="0"/>
      <w:marBottom w:val="0"/>
      <w:divBdr>
        <w:top w:val="none" w:sz="0" w:space="0" w:color="auto"/>
        <w:left w:val="none" w:sz="0" w:space="0" w:color="auto"/>
        <w:bottom w:val="none" w:sz="0" w:space="0" w:color="auto"/>
        <w:right w:val="none" w:sz="0" w:space="0" w:color="auto"/>
      </w:divBdr>
    </w:div>
    <w:div w:id="1702824856">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4793539">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5490806">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4075568">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1164249">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21460111">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66095354">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088780">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3024789">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78682203">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3776397">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4813584">
      <w:bodyDiv w:val="1"/>
      <w:marLeft w:val="0"/>
      <w:marRight w:val="0"/>
      <w:marTop w:val="0"/>
      <w:marBottom w:val="0"/>
      <w:divBdr>
        <w:top w:val="none" w:sz="0" w:space="0" w:color="auto"/>
        <w:left w:val="none" w:sz="0" w:space="0" w:color="auto"/>
        <w:bottom w:val="none" w:sz="0" w:space="0" w:color="auto"/>
        <w:right w:val="none" w:sz="0" w:space="0" w:color="auto"/>
      </w:divBdr>
    </w:div>
    <w:div w:id="2077624605">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274930">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F3FF-4FF3-43B2-9F67-655212A3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852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8</cp:revision>
  <cp:lastPrinted>2016-05-24T12:54:00Z</cp:lastPrinted>
  <dcterms:created xsi:type="dcterms:W3CDTF">2016-04-27T13:16:00Z</dcterms:created>
  <dcterms:modified xsi:type="dcterms:W3CDTF">2016-05-24T12:54:00Z</dcterms:modified>
</cp:coreProperties>
</file>