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20582B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20582B">
        <w:rPr>
          <w:rFonts w:ascii="Arial" w:hAnsi="Arial" w:cs="Arial"/>
          <w:sz w:val="28"/>
          <w:szCs w:val="28"/>
        </w:rPr>
        <w:t>Ville de Riorges</w:t>
      </w:r>
    </w:p>
    <w:p w:rsidR="00B74788" w:rsidRPr="0020582B" w:rsidRDefault="00C040BF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20582B">
        <w:rPr>
          <w:rFonts w:ascii="Arial" w:hAnsi="Arial" w:cs="Arial"/>
        </w:rPr>
        <w:t xml:space="preserve">onseil municipal du </w:t>
      </w:r>
      <w:r w:rsidR="00081706">
        <w:rPr>
          <w:rFonts w:ascii="Arial" w:hAnsi="Arial" w:cs="Arial"/>
        </w:rPr>
        <w:t>19 mai</w:t>
      </w:r>
      <w:r w:rsidR="001C4B7C" w:rsidRPr="0020582B">
        <w:rPr>
          <w:rFonts w:ascii="Arial" w:hAnsi="Arial" w:cs="Arial"/>
        </w:rPr>
        <w:t xml:space="preserve"> 201</w:t>
      </w:r>
      <w:r w:rsidR="006128D2">
        <w:rPr>
          <w:rFonts w:ascii="Arial" w:hAnsi="Arial" w:cs="Arial"/>
        </w:rPr>
        <w:t>6</w:t>
      </w:r>
      <w:r w:rsidR="00F771FB" w:rsidRPr="0020582B">
        <w:rPr>
          <w:rFonts w:ascii="Arial" w:hAnsi="Arial" w:cs="Arial"/>
        </w:rPr>
        <w:tab/>
      </w:r>
      <w:r w:rsidR="002A4668">
        <w:rPr>
          <w:rFonts w:ascii="Arial" w:hAnsi="Arial" w:cs="Arial"/>
        </w:rPr>
        <w:t>2.</w:t>
      </w:r>
      <w:r w:rsidR="00B10BEA">
        <w:rPr>
          <w:rFonts w:ascii="Arial" w:hAnsi="Arial" w:cs="Arial"/>
        </w:rPr>
        <w:t>8</w:t>
      </w: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081706" w:rsidRPr="0020582B" w:rsidRDefault="0008170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20582B" w:rsidRDefault="00AB1704" w:rsidP="00497BB3">
      <w:pPr>
        <w:pStyle w:val="Titre4"/>
        <w:rPr>
          <w:sz w:val="24"/>
          <w:szCs w:val="24"/>
        </w:rPr>
      </w:pPr>
      <w:r>
        <w:rPr>
          <w:sz w:val="24"/>
          <w:szCs w:val="24"/>
        </w:rPr>
        <w:t>FINANCES</w:t>
      </w:r>
    </w:p>
    <w:p w:rsidR="007F0796" w:rsidRPr="0020582B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D217AC" w:rsidRDefault="00AB1704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REHABILITATION DE 129 LOGEMENTS A RIORGES VILLAGE</w:t>
      </w:r>
    </w:p>
    <w:p w:rsidR="00AB1704" w:rsidRDefault="00AB1704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EMPRUNT CONTRACTE PAR OPHEOR</w:t>
      </w:r>
    </w:p>
    <w:p w:rsidR="00BB0AA6" w:rsidRDefault="00AB1704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AUPRES DE LA CAISSE DES DEPOTS ET CONSIGNATIONS</w:t>
      </w:r>
    </w:p>
    <w:p w:rsidR="00AB1704" w:rsidRPr="0020582B" w:rsidRDefault="00AB1704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OCTROI DE LA GARANTIE PARTIELLE DE LA COMMUNE</w:t>
      </w:r>
    </w:p>
    <w:p w:rsidR="00D217AC" w:rsidRDefault="00D217AC" w:rsidP="00D217AC">
      <w:pPr>
        <w:ind w:left="1418"/>
        <w:jc w:val="both"/>
        <w:rPr>
          <w:rFonts w:ascii="Arial" w:hAnsi="Arial"/>
          <w:sz w:val="22"/>
        </w:rPr>
      </w:pPr>
    </w:p>
    <w:p w:rsidR="00914A88" w:rsidRDefault="00914A88">
      <w:pPr>
        <w:ind w:left="1418"/>
        <w:jc w:val="both"/>
        <w:rPr>
          <w:rFonts w:ascii="Arial" w:hAnsi="Arial"/>
          <w:sz w:val="22"/>
        </w:rPr>
      </w:pPr>
    </w:p>
    <w:p w:rsidR="004422DB" w:rsidRDefault="004422DB">
      <w:pPr>
        <w:ind w:left="1418"/>
        <w:jc w:val="both"/>
        <w:rPr>
          <w:rFonts w:ascii="Arial" w:hAnsi="Arial"/>
          <w:sz w:val="22"/>
        </w:rPr>
      </w:pPr>
    </w:p>
    <w:p w:rsidR="00AB1704" w:rsidRDefault="00AB1704" w:rsidP="00AB17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B1704" w:rsidRDefault="004422DB" w:rsidP="00AB17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Thierry ROLLET, conseiller municipal, expose à l'assemblée :</w:t>
      </w:r>
    </w:p>
    <w:p w:rsidR="00AB1704" w:rsidRDefault="00AB1704" w:rsidP="00AB17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3347B" w:rsidRDefault="004422DB" w:rsidP="00AB170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AB1704">
        <w:rPr>
          <w:rFonts w:ascii="Arial" w:hAnsi="Arial" w:cs="Arial"/>
          <w:sz w:val="22"/>
          <w:szCs w:val="22"/>
        </w:rPr>
        <w:t xml:space="preserve">Dans le cadre de la réhabilitation de 129 logements à Riorges Village, rue Irène Joliot Curie et place Pablo Picasso, OPHEOR est amené à contracter, auprès de la Caisse des Dépôts et Consignations, </w:t>
      </w:r>
      <w:r w:rsidR="00081706">
        <w:rPr>
          <w:rFonts w:ascii="Arial" w:hAnsi="Arial" w:cs="Arial"/>
          <w:sz w:val="22"/>
          <w:szCs w:val="22"/>
        </w:rPr>
        <w:t>un</w:t>
      </w:r>
      <w:r w:rsidR="0043347B">
        <w:rPr>
          <w:rFonts w:ascii="Arial" w:hAnsi="Arial" w:cs="Arial"/>
          <w:sz w:val="22"/>
          <w:szCs w:val="22"/>
        </w:rPr>
        <w:t xml:space="preserve"> </w:t>
      </w:r>
      <w:r w:rsidR="00AB1704">
        <w:rPr>
          <w:rFonts w:ascii="Arial" w:hAnsi="Arial" w:cs="Arial"/>
          <w:sz w:val="22"/>
          <w:szCs w:val="22"/>
        </w:rPr>
        <w:t>emprunt</w:t>
      </w:r>
      <w:r w:rsidR="00073919">
        <w:rPr>
          <w:rFonts w:ascii="Arial" w:hAnsi="Arial" w:cs="Arial"/>
          <w:sz w:val="22"/>
          <w:szCs w:val="22"/>
        </w:rPr>
        <w:t xml:space="preserve"> d'un montant global de 950 000 €, dont les caractéristiques sont les suivantes :</w:t>
      </w:r>
    </w:p>
    <w:p w:rsidR="00073919" w:rsidRDefault="00073919" w:rsidP="00AB1704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3"/>
        <w:gridCol w:w="2813"/>
        <w:gridCol w:w="2813"/>
      </w:tblGrid>
      <w:tr w:rsidR="00073919" w:rsidRPr="00073919" w:rsidTr="00073919">
        <w:tc>
          <w:tcPr>
            <w:tcW w:w="2703" w:type="dxa"/>
          </w:tcPr>
          <w:p w:rsidR="00073919" w:rsidRPr="00073919" w:rsidRDefault="00073919" w:rsidP="000739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3" w:type="dxa"/>
          </w:tcPr>
          <w:p w:rsidR="00073919" w:rsidRPr="00073919" w:rsidRDefault="00073919" w:rsidP="000739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919">
              <w:rPr>
                <w:rFonts w:ascii="Arial" w:hAnsi="Arial" w:cs="Arial"/>
                <w:b/>
                <w:sz w:val="22"/>
                <w:szCs w:val="22"/>
              </w:rPr>
              <w:t>PAM*</w:t>
            </w:r>
          </w:p>
        </w:tc>
        <w:tc>
          <w:tcPr>
            <w:tcW w:w="2813" w:type="dxa"/>
          </w:tcPr>
          <w:p w:rsidR="00073919" w:rsidRPr="00073919" w:rsidRDefault="00073919" w:rsidP="000739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919">
              <w:rPr>
                <w:rFonts w:ascii="Arial" w:hAnsi="Arial" w:cs="Arial"/>
                <w:b/>
                <w:sz w:val="22"/>
                <w:szCs w:val="22"/>
              </w:rPr>
              <w:t>PAM* Amiante</w:t>
            </w:r>
          </w:p>
        </w:tc>
      </w:tr>
      <w:tr w:rsidR="00073919" w:rsidRPr="00073919" w:rsidTr="00073919">
        <w:tc>
          <w:tcPr>
            <w:tcW w:w="2703" w:type="dxa"/>
          </w:tcPr>
          <w:p w:rsidR="00073919" w:rsidRPr="00073919" w:rsidRDefault="00073919" w:rsidP="00073919">
            <w:pPr>
              <w:rPr>
                <w:rFonts w:ascii="Arial" w:hAnsi="Arial" w:cs="Arial"/>
                <w:sz w:val="22"/>
                <w:szCs w:val="22"/>
              </w:rPr>
            </w:pPr>
            <w:r w:rsidRPr="00073919">
              <w:rPr>
                <w:rFonts w:ascii="Arial" w:hAnsi="Arial" w:cs="Arial"/>
                <w:sz w:val="22"/>
                <w:szCs w:val="22"/>
              </w:rPr>
              <w:t>Montant</w:t>
            </w:r>
          </w:p>
        </w:tc>
        <w:tc>
          <w:tcPr>
            <w:tcW w:w="2813" w:type="dxa"/>
          </w:tcPr>
          <w:p w:rsidR="00073919" w:rsidRPr="00073919" w:rsidRDefault="00073919" w:rsidP="0007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919">
              <w:rPr>
                <w:rFonts w:ascii="Arial" w:hAnsi="Arial" w:cs="Arial"/>
                <w:sz w:val="22"/>
                <w:szCs w:val="22"/>
              </w:rPr>
              <w:t>929 000 €</w:t>
            </w:r>
          </w:p>
        </w:tc>
        <w:tc>
          <w:tcPr>
            <w:tcW w:w="2813" w:type="dxa"/>
          </w:tcPr>
          <w:p w:rsidR="00073919" w:rsidRPr="00073919" w:rsidRDefault="00073919" w:rsidP="0007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919">
              <w:rPr>
                <w:rFonts w:ascii="Arial" w:hAnsi="Arial" w:cs="Arial"/>
                <w:sz w:val="22"/>
                <w:szCs w:val="22"/>
              </w:rPr>
              <w:t>21 000 €</w:t>
            </w:r>
          </w:p>
        </w:tc>
      </w:tr>
      <w:tr w:rsidR="00073919" w:rsidRPr="00073919" w:rsidTr="00073919">
        <w:tc>
          <w:tcPr>
            <w:tcW w:w="2703" w:type="dxa"/>
          </w:tcPr>
          <w:p w:rsidR="00073919" w:rsidRPr="00073919" w:rsidRDefault="00081706" w:rsidP="00073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TEG</w:t>
            </w:r>
          </w:p>
        </w:tc>
        <w:tc>
          <w:tcPr>
            <w:tcW w:w="2813" w:type="dxa"/>
          </w:tcPr>
          <w:p w:rsidR="00073919" w:rsidRPr="00073919" w:rsidRDefault="00073919" w:rsidP="0007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919">
              <w:rPr>
                <w:rFonts w:ascii="Arial" w:hAnsi="Arial" w:cs="Arial"/>
                <w:sz w:val="22"/>
                <w:szCs w:val="22"/>
              </w:rPr>
              <w:t>1,35 %</w:t>
            </w:r>
          </w:p>
        </w:tc>
        <w:tc>
          <w:tcPr>
            <w:tcW w:w="2813" w:type="dxa"/>
          </w:tcPr>
          <w:p w:rsidR="00073919" w:rsidRPr="00073919" w:rsidRDefault="00073919" w:rsidP="0007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919">
              <w:rPr>
                <w:rFonts w:ascii="Arial" w:hAnsi="Arial" w:cs="Arial"/>
                <w:sz w:val="22"/>
                <w:szCs w:val="22"/>
              </w:rPr>
              <w:t>0,5 %</w:t>
            </w:r>
          </w:p>
        </w:tc>
      </w:tr>
      <w:tr w:rsidR="00073919" w:rsidRPr="00073919" w:rsidTr="00073919">
        <w:tc>
          <w:tcPr>
            <w:tcW w:w="2703" w:type="dxa"/>
          </w:tcPr>
          <w:p w:rsidR="00073919" w:rsidRPr="00073919" w:rsidRDefault="00073919" w:rsidP="00073919">
            <w:pPr>
              <w:rPr>
                <w:rFonts w:ascii="Arial" w:hAnsi="Arial" w:cs="Arial"/>
                <w:sz w:val="22"/>
                <w:szCs w:val="22"/>
              </w:rPr>
            </w:pPr>
            <w:r w:rsidRPr="00073919">
              <w:rPr>
                <w:rFonts w:ascii="Arial" w:hAnsi="Arial" w:cs="Arial"/>
                <w:sz w:val="22"/>
                <w:szCs w:val="22"/>
              </w:rPr>
              <w:t>Durée préfinancement</w:t>
            </w:r>
          </w:p>
        </w:tc>
        <w:tc>
          <w:tcPr>
            <w:tcW w:w="2813" w:type="dxa"/>
          </w:tcPr>
          <w:p w:rsidR="00073919" w:rsidRPr="00073919" w:rsidRDefault="00073919" w:rsidP="0007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919">
              <w:rPr>
                <w:rFonts w:ascii="Arial" w:hAnsi="Arial" w:cs="Arial"/>
                <w:sz w:val="22"/>
                <w:szCs w:val="22"/>
              </w:rPr>
              <w:t>12 mois</w:t>
            </w:r>
          </w:p>
        </w:tc>
        <w:tc>
          <w:tcPr>
            <w:tcW w:w="2813" w:type="dxa"/>
          </w:tcPr>
          <w:p w:rsidR="00073919" w:rsidRPr="00073919" w:rsidRDefault="00073919" w:rsidP="0007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919">
              <w:rPr>
                <w:rFonts w:ascii="Arial" w:hAnsi="Arial" w:cs="Arial"/>
                <w:sz w:val="22"/>
                <w:szCs w:val="22"/>
              </w:rPr>
              <w:t>12 mois</w:t>
            </w:r>
          </w:p>
        </w:tc>
      </w:tr>
      <w:tr w:rsidR="00073919" w:rsidRPr="00073919" w:rsidTr="00073919">
        <w:tc>
          <w:tcPr>
            <w:tcW w:w="2703" w:type="dxa"/>
          </w:tcPr>
          <w:p w:rsidR="00073919" w:rsidRPr="00073919" w:rsidRDefault="00073919" w:rsidP="00073919">
            <w:pPr>
              <w:rPr>
                <w:rFonts w:ascii="Arial" w:hAnsi="Arial" w:cs="Arial"/>
                <w:sz w:val="22"/>
                <w:szCs w:val="22"/>
              </w:rPr>
            </w:pPr>
            <w:r w:rsidRPr="00073919">
              <w:rPr>
                <w:rFonts w:ascii="Arial" w:hAnsi="Arial" w:cs="Arial"/>
                <w:sz w:val="22"/>
                <w:szCs w:val="22"/>
              </w:rPr>
              <w:t>Durée d'amortissement</w:t>
            </w:r>
          </w:p>
        </w:tc>
        <w:tc>
          <w:tcPr>
            <w:tcW w:w="2813" w:type="dxa"/>
          </w:tcPr>
          <w:p w:rsidR="00073919" w:rsidRPr="00073919" w:rsidRDefault="00073919" w:rsidP="0007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919">
              <w:rPr>
                <w:rFonts w:ascii="Arial" w:hAnsi="Arial" w:cs="Arial"/>
                <w:sz w:val="22"/>
                <w:szCs w:val="22"/>
              </w:rPr>
              <w:t>20 ans</w:t>
            </w:r>
          </w:p>
        </w:tc>
        <w:tc>
          <w:tcPr>
            <w:tcW w:w="2813" w:type="dxa"/>
          </w:tcPr>
          <w:p w:rsidR="00073919" w:rsidRPr="00073919" w:rsidRDefault="00073919" w:rsidP="0007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919">
              <w:rPr>
                <w:rFonts w:ascii="Arial" w:hAnsi="Arial" w:cs="Arial"/>
                <w:sz w:val="22"/>
                <w:szCs w:val="22"/>
              </w:rPr>
              <w:t>20 ans</w:t>
            </w:r>
          </w:p>
        </w:tc>
      </w:tr>
      <w:tr w:rsidR="00073919" w:rsidRPr="00073919" w:rsidTr="00073919">
        <w:tc>
          <w:tcPr>
            <w:tcW w:w="2703" w:type="dxa"/>
          </w:tcPr>
          <w:p w:rsidR="00073919" w:rsidRPr="00073919" w:rsidRDefault="00073919" w:rsidP="00073919">
            <w:pPr>
              <w:rPr>
                <w:rFonts w:ascii="Arial" w:hAnsi="Arial" w:cs="Arial"/>
                <w:sz w:val="22"/>
                <w:szCs w:val="22"/>
              </w:rPr>
            </w:pPr>
            <w:r w:rsidRPr="00073919">
              <w:rPr>
                <w:rFonts w:ascii="Arial" w:hAnsi="Arial" w:cs="Arial"/>
                <w:sz w:val="22"/>
                <w:szCs w:val="22"/>
              </w:rPr>
              <w:t>Périodicité</w:t>
            </w:r>
          </w:p>
        </w:tc>
        <w:tc>
          <w:tcPr>
            <w:tcW w:w="2813" w:type="dxa"/>
          </w:tcPr>
          <w:p w:rsidR="00073919" w:rsidRPr="00073919" w:rsidRDefault="00073919" w:rsidP="0007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919">
              <w:rPr>
                <w:rFonts w:ascii="Arial" w:hAnsi="Arial" w:cs="Arial"/>
                <w:sz w:val="22"/>
                <w:szCs w:val="22"/>
              </w:rPr>
              <w:t>Annuelle</w:t>
            </w:r>
          </w:p>
        </w:tc>
        <w:tc>
          <w:tcPr>
            <w:tcW w:w="2813" w:type="dxa"/>
          </w:tcPr>
          <w:p w:rsidR="00073919" w:rsidRPr="00073919" w:rsidRDefault="00073919" w:rsidP="00073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919">
              <w:rPr>
                <w:rFonts w:ascii="Arial" w:hAnsi="Arial" w:cs="Arial"/>
                <w:sz w:val="22"/>
                <w:szCs w:val="22"/>
              </w:rPr>
              <w:t>Annuelle</w:t>
            </w:r>
          </w:p>
        </w:tc>
      </w:tr>
    </w:tbl>
    <w:p w:rsidR="00073919" w:rsidRPr="00073919" w:rsidRDefault="00073919" w:rsidP="00AB1704">
      <w:pPr>
        <w:ind w:left="1418"/>
        <w:jc w:val="both"/>
        <w:rPr>
          <w:rFonts w:ascii="Arial" w:hAnsi="Arial" w:cs="Arial"/>
          <w:i/>
          <w:sz w:val="22"/>
          <w:szCs w:val="22"/>
        </w:rPr>
      </w:pPr>
      <w:r w:rsidRPr="00073919">
        <w:rPr>
          <w:rFonts w:ascii="Arial" w:hAnsi="Arial" w:cs="Arial"/>
          <w:i/>
          <w:sz w:val="22"/>
          <w:szCs w:val="22"/>
        </w:rPr>
        <w:t>* prêt à l'amélioration</w:t>
      </w:r>
    </w:p>
    <w:p w:rsidR="00073919" w:rsidRDefault="00073919" w:rsidP="00AB17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71B05" w:rsidRPr="004422DB" w:rsidRDefault="00C71B05" w:rsidP="00AB1704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OPHEOR</w:t>
      </w:r>
      <w:r w:rsidRPr="008611F0">
        <w:rPr>
          <w:rFonts w:ascii="Arial" w:hAnsi="Arial" w:cs="Arial"/>
          <w:sz w:val="22"/>
          <w:szCs w:val="22"/>
        </w:rPr>
        <w:t xml:space="preserve"> sollicite la garantie partielle de ce</w:t>
      </w:r>
      <w:r w:rsidR="00081706">
        <w:rPr>
          <w:rFonts w:ascii="Arial" w:hAnsi="Arial" w:cs="Arial"/>
          <w:sz w:val="22"/>
          <w:szCs w:val="22"/>
        </w:rPr>
        <w:t>t</w:t>
      </w:r>
      <w:r w:rsidR="0043347B">
        <w:rPr>
          <w:rFonts w:ascii="Arial" w:hAnsi="Arial" w:cs="Arial"/>
          <w:sz w:val="22"/>
          <w:szCs w:val="22"/>
        </w:rPr>
        <w:t xml:space="preserve"> </w:t>
      </w:r>
      <w:r w:rsidRPr="008611F0">
        <w:rPr>
          <w:rFonts w:ascii="Arial" w:hAnsi="Arial" w:cs="Arial"/>
          <w:sz w:val="22"/>
          <w:szCs w:val="22"/>
        </w:rPr>
        <w:t xml:space="preserve">emprunt par la commune à hauteur de 79 % de </w:t>
      </w:r>
      <w:r w:rsidR="00081706">
        <w:rPr>
          <w:rFonts w:ascii="Arial" w:hAnsi="Arial" w:cs="Arial"/>
          <w:sz w:val="22"/>
          <w:szCs w:val="22"/>
        </w:rPr>
        <w:t>son</w:t>
      </w:r>
      <w:r w:rsidRPr="008611F0">
        <w:rPr>
          <w:rFonts w:ascii="Arial" w:hAnsi="Arial" w:cs="Arial"/>
          <w:sz w:val="22"/>
          <w:szCs w:val="22"/>
        </w:rPr>
        <w:t xml:space="preserve"> montant,</w:t>
      </w:r>
      <w:r>
        <w:rPr>
          <w:rFonts w:ascii="Arial" w:hAnsi="Arial" w:cs="Arial"/>
          <w:sz w:val="22"/>
          <w:szCs w:val="22"/>
        </w:rPr>
        <w:t xml:space="preserve"> </w:t>
      </w:r>
      <w:r w:rsidRPr="008611F0">
        <w:rPr>
          <w:rFonts w:ascii="Arial" w:hAnsi="Arial" w:cs="Arial"/>
          <w:sz w:val="22"/>
          <w:szCs w:val="22"/>
        </w:rPr>
        <w:t xml:space="preserve">la garantie des 21 % restants étant sollicitée auprès du </w:t>
      </w:r>
      <w:r>
        <w:rPr>
          <w:rFonts w:ascii="Arial" w:hAnsi="Arial" w:cs="Arial"/>
          <w:sz w:val="22"/>
          <w:szCs w:val="22"/>
        </w:rPr>
        <w:t>Département</w:t>
      </w:r>
      <w:r w:rsidRPr="008611F0">
        <w:rPr>
          <w:rFonts w:ascii="Arial" w:hAnsi="Arial" w:cs="Arial"/>
          <w:sz w:val="22"/>
          <w:szCs w:val="22"/>
        </w:rPr>
        <w:t xml:space="preserve"> de la Loire.</w:t>
      </w:r>
      <w:r w:rsidR="0043347B">
        <w:rPr>
          <w:rFonts w:ascii="Arial" w:hAnsi="Arial" w:cs="Arial"/>
          <w:sz w:val="22"/>
          <w:szCs w:val="22"/>
        </w:rPr>
        <w:t xml:space="preserve"> Le montant sur lequel porte la garantie de la commune s'élève à 750 </w:t>
      </w:r>
      <w:r w:rsidR="00485159">
        <w:rPr>
          <w:rFonts w:ascii="Arial" w:hAnsi="Arial" w:cs="Arial"/>
          <w:sz w:val="22"/>
          <w:szCs w:val="22"/>
        </w:rPr>
        <w:t>50</w:t>
      </w:r>
      <w:r w:rsidR="0043347B">
        <w:rPr>
          <w:rFonts w:ascii="Arial" w:hAnsi="Arial" w:cs="Arial"/>
          <w:sz w:val="22"/>
          <w:szCs w:val="22"/>
        </w:rPr>
        <w:t>0 €.</w:t>
      </w:r>
      <w:r w:rsidR="004422DB">
        <w:rPr>
          <w:rFonts w:ascii="Arial" w:hAnsi="Arial" w:cs="Arial"/>
          <w:b/>
          <w:sz w:val="22"/>
          <w:szCs w:val="22"/>
        </w:rPr>
        <w:t>"</w:t>
      </w:r>
    </w:p>
    <w:p w:rsidR="00C71B05" w:rsidRDefault="00C71B05" w:rsidP="00AB17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F3A4A" w:rsidRDefault="009F3A4A" w:rsidP="00AB17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D39C9" w:rsidRDefault="00DD39C9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Vu </w:t>
      </w:r>
      <w:r w:rsidRPr="00DD39C9">
        <w:rPr>
          <w:rFonts w:ascii="Arial" w:hAnsi="Arial" w:cs="Arial"/>
          <w:sz w:val="22"/>
          <w:szCs w:val="22"/>
        </w:rPr>
        <w:t xml:space="preserve">les articles L 2252-1 et L 2252-2 </w:t>
      </w:r>
      <w:r>
        <w:rPr>
          <w:rFonts w:ascii="Arial" w:hAnsi="Arial"/>
          <w:sz w:val="22"/>
          <w:szCs w:val="22"/>
        </w:rPr>
        <w:t>du Code général des collectivités territoriales ;</w:t>
      </w:r>
    </w:p>
    <w:p w:rsidR="00DD39C9" w:rsidRDefault="00DD39C9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DD39C9" w:rsidRDefault="00DD39C9" w:rsidP="0015752D">
      <w:pPr>
        <w:ind w:left="1418"/>
        <w:jc w:val="both"/>
        <w:rPr>
          <w:rFonts w:ascii="Arial" w:hAnsi="Arial" w:cs="Arial"/>
          <w:sz w:val="22"/>
          <w:szCs w:val="22"/>
        </w:rPr>
      </w:pPr>
      <w:r w:rsidRPr="00DD39C9">
        <w:rPr>
          <w:rFonts w:ascii="Arial" w:hAnsi="Arial" w:cs="Arial"/>
          <w:sz w:val="22"/>
          <w:szCs w:val="22"/>
        </w:rPr>
        <w:t>Vu l'article 2298 du Code civil ;</w:t>
      </w:r>
    </w:p>
    <w:p w:rsidR="00081706" w:rsidRDefault="00081706" w:rsidP="0015752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81706" w:rsidRPr="00DD39C9" w:rsidRDefault="00081706" w:rsidP="0015752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 le contrat de prêt n° </w:t>
      </w:r>
      <w:r w:rsidRPr="00081706">
        <w:rPr>
          <w:rFonts w:ascii="Arial" w:hAnsi="Arial" w:cs="Arial"/>
          <w:b/>
          <w:sz w:val="22"/>
          <w:szCs w:val="22"/>
        </w:rPr>
        <w:t>46961</w:t>
      </w:r>
      <w:r>
        <w:rPr>
          <w:rFonts w:ascii="Arial" w:hAnsi="Arial" w:cs="Arial"/>
          <w:sz w:val="22"/>
          <w:szCs w:val="22"/>
        </w:rPr>
        <w:t xml:space="preserve"> en annexe, signé entre OPHEOR, ci-après l'Emprunteur, et la Caisse des Dépôts et Consignations ;</w:t>
      </w:r>
    </w:p>
    <w:p w:rsidR="00DD39C9" w:rsidRPr="00421142" w:rsidRDefault="00DD39C9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DD39C9" w:rsidRDefault="00DD39C9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DD39C9" w:rsidRDefault="00DD39C9" w:rsidP="00AB170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D39C9" w:rsidRDefault="00DD39C9" w:rsidP="00DD39C9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DD39C9">
        <w:rPr>
          <w:rFonts w:ascii="Arial" w:hAnsi="Arial" w:cs="Arial"/>
          <w:b/>
          <w:bCs/>
          <w:sz w:val="22"/>
          <w:szCs w:val="22"/>
        </w:rPr>
        <w:t xml:space="preserve">Article 1 </w:t>
      </w:r>
    </w:p>
    <w:p w:rsidR="00DD39C9" w:rsidRDefault="00081706" w:rsidP="00DD39C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L'assemblée </w:t>
      </w:r>
      <w:r w:rsidR="00CE00CD">
        <w:rPr>
          <w:rFonts w:ascii="Arial" w:hAnsi="Arial" w:cs="Arial"/>
          <w:sz w:val="22"/>
          <w:szCs w:val="22"/>
        </w:rPr>
        <w:t>délibérante</w:t>
      </w:r>
      <w:r>
        <w:rPr>
          <w:rFonts w:ascii="Arial" w:hAnsi="Arial" w:cs="Arial"/>
          <w:sz w:val="22"/>
          <w:szCs w:val="22"/>
        </w:rPr>
        <w:t xml:space="preserve"> </w:t>
      </w:r>
      <w:r w:rsidR="00DD39C9">
        <w:rPr>
          <w:rFonts w:ascii="Arial" w:hAnsi="Arial" w:cs="Arial"/>
          <w:sz w:val="22"/>
          <w:szCs w:val="22"/>
        </w:rPr>
        <w:t>de Riorges</w:t>
      </w:r>
      <w:r w:rsidR="00DD39C9" w:rsidRPr="00DD39C9">
        <w:rPr>
          <w:rFonts w:ascii="Arial" w:hAnsi="Arial" w:cs="Arial"/>
          <w:i/>
          <w:iCs/>
          <w:sz w:val="22"/>
          <w:szCs w:val="22"/>
        </w:rPr>
        <w:t xml:space="preserve"> </w:t>
      </w:r>
      <w:r w:rsidR="00DD39C9" w:rsidRPr="00DD39C9">
        <w:rPr>
          <w:rFonts w:ascii="Arial" w:hAnsi="Arial" w:cs="Arial"/>
          <w:sz w:val="22"/>
          <w:szCs w:val="22"/>
        </w:rPr>
        <w:t xml:space="preserve">accorde sa garantie à hauteur de </w:t>
      </w:r>
      <w:r w:rsidR="00DD39C9">
        <w:rPr>
          <w:rFonts w:ascii="Arial" w:hAnsi="Arial" w:cs="Arial"/>
          <w:sz w:val="22"/>
          <w:szCs w:val="22"/>
        </w:rPr>
        <w:t>79</w:t>
      </w:r>
      <w:r w:rsidR="00DD39C9" w:rsidRPr="00DD39C9">
        <w:rPr>
          <w:rFonts w:ascii="Arial" w:hAnsi="Arial" w:cs="Arial"/>
          <w:sz w:val="22"/>
          <w:szCs w:val="22"/>
        </w:rPr>
        <w:t xml:space="preserve"> % pour le remboursement d’un Prêt  d’un montant total de </w:t>
      </w:r>
      <w:r>
        <w:rPr>
          <w:rFonts w:ascii="Arial" w:hAnsi="Arial" w:cs="Arial"/>
          <w:sz w:val="22"/>
          <w:szCs w:val="22"/>
        </w:rPr>
        <w:t>950 000</w:t>
      </w:r>
      <w:r w:rsidR="00DD39C9" w:rsidRPr="00DD39C9">
        <w:rPr>
          <w:rFonts w:ascii="Arial" w:hAnsi="Arial" w:cs="Arial"/>
          <w:sz w:val="22"/>
          <w:szCs w:val="22"/>
        </w:rPr>
        <w:t xml:space="preserve"> euros souscrit par l’Emprunteur auprès de la Caisse des dépôts et consignations, selon les caractéristiques financières et aux charges et conditions du Contrat de Prêt </w:t>
      </w:r>
      <w:r w:rsidR="00DD39C9" w:rsidRPr="00AF2C6C">
        <w:rPr>
          <w:rFonts w:ascii="Arial" w:hAnsi="Arial" w:cs="Arial"/>
          <w:b/>
          <w:sz w:val="22"/>
          <w:szCs w:val="22"/>
        </w:rPr>
        <w:t>N°</w:t>
      </w:r>
      <w:r w:rsidR="00AF2C6C">
        <w:rPr>
          <w:rFonts w:ascii="Arial" w:hAnsi="Arial" w:cs="Arial"/>
          <w:sz w:val="22"/>
          <w:szCs w:val="22"/>
        </w:rPr>
        <w:t> </w:t>
      </w:r>
      <w:r w:rsidRPr="00081706">
        <w:rPr>
          <w:rFonts w:ascii="Arial" w:hAnsi="Arial" w:cs="Arial"/>
          <w:b/>
          <w:sz w:val="22"/>
          <w:szCs w:val="22"/>
        </w:rPr>
        <w:t>46961</w:t>
      </w:r>
      <w:r w:rsidR="00DD39C9" w:rsidRPr="00DD39C9">
        <w:rPr>
          <w:rFonts w:ascii="Arial" w:hAnsi="Arial" w:cs="Arial"/>
          <w:sz w:val="22"/>
          <w:szCs w:val="22"/>
        </w:rPr>
        <w:t xml:space="preserve">, constitué de </w:t>
      </w:r>
      <w:r w:rsidRPr="00AF2C6C">
        <w:rPr>
          <w:rFonts w:ascii="Arial" w:hAnsi="Arial" w:cs="Arial"/>
          <w:iCs/>
          <w:sz w:val="22"/>
          <w:szCs w:val="22"/>
        </w:rPr>
        <w:t>deux</w:t>
      </w:r>
      <w:r w:rsidR="00DD39C9" w:rsidRPr="00DD39C9">
        <w:rPr>
          <w:rFonts w:ascii="Arial" w:hAnsi="Arial" w:cs="Arial"/>
          <w:i/>
          <w:iCs/>
          <w:sz w:val="22"/>
          <w:szCs w:val="22"/>
        </w:rPr>
        <w:t xml:space="preserve"> </w:t>
      </w:r>
      <w:r w:rsidR="00DD39C9" w:rsidRPr="00DD39C9">
        <w:rPr>
          <w:rFonts w:ascii="Arial" w:hAnsi="Arial" w:cs="Arial"/>
          <w:sz w:val="22"/>
          <w:szCs w:val="22"/>
        </w:rPr>
        <w:t>Lignes du Prêt.</w:t>
      </w:r>
    </w:p>
    <w:p w:rsidR="00713AB0" w:rsidRPr="00DD39C9" w:rsidRDefault="00713AB0" w:rsidP="00DD39C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D39C9" w:rsidRPr="00DD39C9" w:rsidRDefault="00DD39C9" w:rsidP="00DD39C9">
      <w:pPr>
        <w:ind w:left="1418"/>
        <w:jc w:val="both"/>
        <w:rPr>
          <w:rFonts w:ascii="Arial" w:hAnsi="Arial" w:cs="Arial"/>
          <w:sz w:val="22"/>
          <w:szCs w:val="22"/>
        </w:rPr>
      </w:pPr>
      <w:r w:rsidRPr="00DD39C9">
        <w:rPr>
          <w:rFonts w:ascii="Arial" w:hAnsi="Arial" w:cs="Arial"/>
          <w:sz w:val="22"/>
          <w:szCs w:val="22"/>
        </w:rPr>
        <w:t xml:space="preserve">Ledit Contrat est joint en annexe et fait partie intégrante de la présente délibération. </w:t>
      </w:r>
    </w:p>
    <w:p w:rsidR="00DD39C9" w:rsidRPr="00081706" w:rsidRDefault="00DD39C9" w:rsidP="00DD39C9">
      <w:pPr>
        <w:ind w:left="1418" w:right="-27"/>
        <w:jc w:val="both"/>
        <w:rPr>
          <w:rFonts w:ascii="Arial" w:hAnsi="Arial" w:cs="Arial"/>
          <w:sz w:val="22"/>
          <w:szCs w:val="22"/>
          <w:u w:val="single"/>
        </w:rPr>
      </w:pPr>
    </w:p>
    <w:p w:rsidR="00081706" w:rsidRPr="00081706" w:rsidRDefault="00081706" w:rsidP="00DD39C9">
      <w:pPr>
        <w:ind w:left="1418" w:right="-27"/>
        <w:jc w:val="both"/>
        <w:rPr>
          <w:rFonts w:ascii="Arial" w:hAnsi="Arial" w:cs="Arial"/>
          <w:sz w:val="22"/>
          <w:szCs w:val="22"/>
          <w:u w:val="single"/>
        </w:rPr>
      </w:pPr>
    </w:p>
    <w:p w:rsidR="00081706" w:rsidRPr="00081706" w:rsidRDefault="00081706" w:rsidP="00DD39C9">
      <w:pPr>
        <w:ind w:left="1418" w:right="-27"/>
        <w:jc w:val="both"/>
        <w:rPr>
          <w:rFonts w:ascii="Arial" w:hAnsi="Arial" w:cs="Arial"/>
          <w:sz w:val="22"/>
          <w:szCs w:val="22"/>
          <w:u w:val="single"/>
        </w:rPr>
      </w:pPr>
    </w:p>
    <w:p w:rsidR="00081706" w:rsidRPr="00081706" w:rsidRDefault="00081706" w:rsidP="00DD39C9">
      <w:pPr>
        <w:ind w:left="1418" w:right="-27"/>
        <w:jc w:val="both"/>
        <w:rPr>
          <w:rFonts w:ascii="Arial" w:hAnsi="Arial" w:cs="Arial"/>
          <w:sz w:val="22"/>
          <w:szCs w:val="22"/>
          <w:u w:val="single"/>
        </w:rPr>
      </w:pPr>
    </w:p>
    <w:p w:rsidR="00081706" w:rsidRPr="00081706" w:rsidRDefault="00081706" w:rsidP="00DD39C9">
      <w:pPr>
        <w:ind w:left="1418" w:right="-27"/>
        <w:jc w:val="both"/>
        <w:rPr>
          <w:rFonts w:ascii="Arial" w:hAnsi="Arial" w:cs="Arial"/>
          <w:sz w:val="22"/>
          <w:szCs w:val="22"/>
          <w:u w:val="single"/>
        </w:rPr>
      </w:pPr>
    </w:p>
    <w:p w:rsidR="00DD39C9" w:rsidRPr="00DD39C9" w:rsidRDefault="00DD39C9" w:rsidP="00DD39C9">
      <w:pPr>
        <w:ind w:left="1418" w:right="-27"/>
        <w:jc w:val="both"/>
        <w:rPr>
          <w:rFonts w:ascii="Arial" w:hAnsi="Arial" w:cs="Arial"/>
          <w:sz w:val="22"/>
          <w:szCs w:val="22"/>
        </w:rPr>
      </w:pPr>
      <w:r w:rsidRPr="00DD39C9">
        <w:rPr>
          <w:rFonts w:ascii="Arial" w:hAnsi="Arial" w:cs="Arial"/>
          <w:b/>
          <w:sz w:val="22"/>
          <w:szCs w:val="22"/>
          <w:u w:val="single"/>
        </w:rPr>
        <w:t>Article 2</w:t>
      </w:r>
      <w:r w:rsidRPr="00DD39C9">
        <w:rPr>
          <w:rFonts w:ascii="Arial" w:hAnsi="Arial" w:cs="Arial"/>
          <w:sz w:val="22"/>
          <w:szCs w:val="22"/>
        </w:rPr>
        <w:t xml:space="preserve"> : </w:t>
      </w:r>
      <w:r w:rsidRPr="00DD39C9">
        <w:rPr>
          <w:rFonts w:ascii="Arial" w:hAnsi="Arial" w:cs="Arial"/>
          <w:b/>
          <w:sz w:val="22"/>
          <w:szCs w:val="22"/>
          <w:u w:val="single"/>
        </w:rPr>
        <w:t xml:space="preserve">La garantie est apportée aux conditions suivantes : </w:t>
      </w:r>
    </w:p>
    <w:p w:rsidR="00DD39C9" w:rsidRPr="00DD39C9" w:rsidRDefault="00DD39C9" w:rsidP="00DD39C9">
      <w:pPr>
        <w:tabs>
          <w:tab w:val="left" w:pos="2552"/>
        </w:tabs>
        <w:ind w:left="1418" w:right="-27"/>
        <w:jc w:val="both"/>
        <w:rPr>
          <w:rFonts w:ascii="Arial" w:hAnsi="Arial" w:cs="Arial"/>
          <w:sz w:val="22"/>
          <w:szCs w:val="22"/>
        </w:rPr>
      </w:pPr>
      <w:r w:rsidRPr="00DD39C9">
        <w:rPr>
          <w:rFonts w:ascii="Arial" w:hAnsi="Arial" w:cs="Arial"/>
          <w:sz w:val="22"/>
          <w:szCs w:val="22"/>
        </w:rPr>
        <w:t>La garantie de la collectivité</w:t>
      </w:r>
      <w:r w:rsidRPr="00DD39C9">
        <w:rPr>
          <w:rFonts w:ascii="Arial" w:hAnsi="Arial" w:cs="Arial"/>
          <w:i/>
          <w:sz w:val="22"/>
          <w:szCs w:val="22"/>
        </w:rPr>
        <w:t xml:space="preserve"> </w:t>
      </w:r>
      <w:r w:rsidRPr="00DD39C9">
        <w:rPr>
          <w:rFonts w:ascii="Arial" w:hAnsi="Arial" w:cs="Arial"/>
          <w:sz w:val="22"/>
          <w:szCs w:val="22"/>
        </w:rPr>
        <w:t>est accordée pour la durée totale du Prêt et jusqu’au complet remboursement de celui-ci et porte sur l’ensemble des sommes contractuellement dues par l’Emprunteur dont il ne se serait pas acquitté à la date d’exigibilité.</w:t>
      </w:r>
    </w:p>
    <w:p w:rsidR="00DD39C9" w:rsidRPr="00DD39C9" w:rsidRDefault="00DD39C9" w:rsidP="00DD39C9">
      <w:pPr>
        <w:ind w:left="1418" w:right="-45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D39C9" w:rsidRPr="00DD39C9" w:rsidRDefault="00DD39C9" w:rsidP="00DD39C9">
      <w:pPr>
        <w:ind w:left="1418" w:right="256"/>
        <w:jc w:val="both"/>
        <w:rPr>
          <w:rFonts w:ascii="Arial" w:hAnsi="Arial" w:cs="Arial"/>
          <w:sz w:val="22"/>
          <w:szCs w:val="22"/>
        </w:rPr>
      </w:pPr>
      <w:r w:rsidRPr="00DD39C9">
        <w:rPr>
          <w:rFonts w:ascii="Arial" w:hAnsi="Arial" w:cs="Arial"/>
          <w:sz w:val="22"/>
          <w:szCs w:val="22"/>
        </w:rPr>
        <w:t>Sur notification de l’impayé par lettre simple de la Caisse des dépôts et consignations, la collectivité s’engage dans les meilleurs délais à se substituer à l’Emprunteur</w:t>
      </w:r>
      <w:r w:rsidRPr="00DD39C9">
        <w:rPr>
          <w:rFonts w:ascii="Arial" w:hAnsi="Arial" w:cs="Arial"/>
          <w:i/>
          <w:sz w:val="22"/>
          <w:szCs w:val="22"/>
        </w:rPr>
        <w:t xml:space="preserve"> </w:t>
      </w:r>
      <w:r w:rsidRPr="00DD39C9">
        <w:rPr>
          <w:rFonts w:ascii="Arial" w:hAnsi="Arial" w:cs="Arial"/>
          <w:sz w:val="22"/>
          <w:szCs w:val="22"/>
        </w:rPr>
        <w:t>pour son paiement</w:t>
      </w:r>
      <w:r w:rsidRPr="00DD39C9">
        <w:rPr>
          <w:rFonts w:ascii="Arial" w:hAnsi="Arial" w:cs="Arial"/>
          <w:i/>
          <w:sz w:val="22"/>
          <w:szCs w:val="22"/>
        </w:rPr>
        <w:t xml:space="preserve">, </w:t>
      </w:r>
      <w:r w:rsidRPr="00DD39C9">
        <w:rPr>
          <w:rFonts w:ascii="Arial" w:hAnsi="Arial" w:cs="Arial"/>
          <w:sz w:val="22"/>
          <w:szCs w:val="22"/>
        </w:rPr>
        <w:t>en renonçant au bénéfice de discussion et sans jamais opposer le défaut de ressources nécessaires à ce règlement.</w:t>
      </w:r>
    </w:p>
    <w:p w:rsidR="00DD39C9" w:rsidRPr="00DD39C9" w:rsidRDefault="00DD39C9" w:rsidP="00DD39C9">
      <w:pPr>
        <w:ind w:left="1418" w:right="-45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D39C9" w:rsidRPr="00DD39C9" w:rsidRDefault="00DD39C9" w:rsidP="00DD39C9">
      <w:pPr>
        <w:ind w:left="1418" w:right="-45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D39C9" w:rsidRPr="00DD39C9" w:rsidRDefault="00DD39C9" w:rsidP="00DD39C9">
      <w:pPr>
        <w:ind w:left="1418" w:right="-454"/>
        <w:jc w:val="both"/>
        <w:rPr>
          <w:rFonts w:ascii="Arial" w:hAnsi="Arial" w:cs="Arial"/>
          <w:sz w:val="22"/>
          <w:szCs w:val="22"/>
        </w:rPr>
      </w:pPr>
      <w:r w:rsidRPr="00DD39C9">
        <w:rPr>
          <w:rFonts w:ascii="Arial" w:hAnsi="Arial" w:cs="Arial"/>
          <w:b/>
          <w:sz w:val="22"/>
          <w:szCs w:val="22"/>
          <w:u w:val="single"/>
        </w:rPr>
        <w:t>Article 3</w:t>
      </w:r>
      <w:r w:rsidRPr="00DD39C9">
        <w:rPr>
          <w:rFonts w:ascii="Arial" w:hAnsi="Arial" w:cs="Arial"/>
          <w:sz w:val="22"/>
          <w:szCs w:val="22"/>
        </w:rPr>
        <w:t xml:space="preserve"> : Le Conseil s'engage pendant toute la durée du Prêt à libérer, en cas de besoin, des ressources suffisantes pour couvrir les charges du Prêt.</w:t>
      </w:r>
    </w:p>
    <w:p w:rsidR="00DD39C9" w:rsidRPr="00DD39C9" w:rsidRDefault="00DD39C9" w:rsidP="00DD39C9">
      <w:pPr>
        <w:ind w:left="1418" w:right="256"/>
        <w:jc w:val="both"/>
        <w:rPr>
          <w:rFonts w:ascii="Arial" w:hAnsi="Arial" w:cs="Arial"/>
          <w:sz w:val="22"/>
          <w:szCs w:val="22"/>
        </w:rPr>
      </w:pPr>
    </w:p>
    <w:p w:rsidR="00DD39C9" w:rsidRPr="00DD39C9" w:rsidRDefault="00DD39C9" w:rsidP="00DD39C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D39C9" w:rsidRPr="00DD39C9" w:rsidRDefault="00DD39C9" w:rsidP="00DD39C9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DD39C9" w:rsidRPr="00DD39C9" w:rsidSect="001E2D63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4A" w:rsidRDefault="009F3A4A">
      <w:r>
        <w:separator/>
      </w:r>
    </w:p>
  </w:endnote>
  <w:endnote w:type="continuationSeparator" w:id="0">
    <w:p w:rsidR="009F3A4A" w:rsidRDefault="009F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4A" w:rsidRPr="004B28E6" w:rsidRDefault="00081706" w:rsidP="00081706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4A" w:rsidRDefault="009F3A4A">
      <w:r>
        <w:separator/>
      </w:r>
    </w:p>
  </w:footnote>
  <w:footnote w:type="continuationSeparator" w:id="0">
    <w:p w:rsidR="009F3A4A" w:rsidRDefault="009F3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4A" w:rsidRDefault="009F3A4A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4A" w:rsidRDefault="009F3A4A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29D2184"/>
    <w:multiLevelType w:val="hybridMultilevel"/>
    <w:tmpl w:val="84F2DD50"/>
    <w:lvl w:ilvl="0" w:tplc="79FC246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236061B0"/>
    <w:multiLevelType w:val="hybridMultilevel"/>
    <w:tmpl w:val="CCB855C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6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7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0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8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4F7315D"/>
    <w:multiLevelType w:val="hybridMultilevel"/>
    <w:tmpl w:val="D33EA5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71411BE2"/>
    <w:multiLevelType w:val="hybridMultilevel"/>
    <w:tmpl w:val="C00E89D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25B708F"/>
    <w:multiLevelType w:val="hybridMultilevel"/>
    <w:tmpl w:val="CA941612"/>
    <w:lvl w:ilvl="0" w:tplc="04B86868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5F17628"/>
    <w:multiLevelType w:val="hybridMultilevel"/>
    <w:tmpl w:val="9BE8AF10"/>
    <w:lvl w:ilvl="0" w:tplc="A756FD2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8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17"/>
  </w:num>
  <w:num w:numId="5">
    <w:abstractNumId w:val="0"/>
  </w:num>
  <w:num w:numId="6">
    <w:abstractNumId w:val="25"/>
  </w:num>
  <w:num w:numId="7">
    <w:abstractNumId w:val="21"/>
  </w:num>
  <w:num w:numId="8">
    <w:abstractNumId w:val="16"/>
  </w:num>
  <w:num w:numId="9">
    <w:abstractNumId w:val="19"/>
  </w:num>
  <w:num w:numId="10">
    <w:abstractNumId w:val="7"/>
  </w:num>
  <w:num w:numId="11">
    <w:abstractNumId w:val="22"/>
  </w:num>
  <w:num w:numId="12">
    <w:abstractNumId w:val="29"/>
  </w:num>
  <w:num w:numId="13">
    <w:abstractNumId w:val="6"/>
  </w:num>
  <w:num w:numId="14">
    <w:abstractNumId w:val="36"/>
  </w:num>
  <w:num w:numId="15">
    <w:abstractNumId w:val="34"/>
  </w:num>
  <w:num w:numId="16">
    <w:abstractNumId w:val="37"/>
  </w:num>
  <w:num w:numId="17">
    <w:abstractNumId w:val="20"/>
  </w:num>
  <w:num w:numId="18">
    <w:abstractNumId w:val="23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8"/>
  </w:num>
  <w:num w:numId="24">
    <w:abstractNumId w:val="14"/>
  </w:num>
  <w:num w:numId="25">
    <w:abstractNumId w:val="4"/>
  </w:num>
  <w:num w:numId="26">
    <w:abstractNumId w:val="31"/>
  </w:num>
  <w:num w:numId="27">
    <w:abstractNumId w:val="5"/>
  </w:num>
  <w:num w:numId="28">
    <w:abstractNumId w:val="27"/>
  </w:num>
  <w:num w:numId="29">
    <w:abstractNumId w:val="11"/>
  </w:num>
  <w:num w:numId="30">
    <w:abstractNumId w:val="20"/>
    <w:lvlOverride w:ilvl="0">
      <w:startOverride w:val="1"/>
    </w:lvlOverride>
  </w:num>
  <w:num w:numId="31">
    <w:abstractNumId w:val="18"/>
  </w:num>
  <w:num w:numId="32">
    <w:abstractNumId w:val="2"/>
  </w:num>
  <w:num w:numId="33">
    <w:abstractNumId w:val="28"/>
  </w:num>
  <w:num w:numId="34">
    <w:abstractNumId w:val="26"/>
  </w:num>
  <w:num w:numId="35">
    <w:abstractNumId w:val="15"/>
  </w:num>
  <w:num w:numId="36">
    <w:abstractNumId w:val="32"/>
  </w:num>
  <w:num w:numId="37">
    <w:abstractNumId w:val="35"/>
  </w:num>
  <w:num w:numId="38">
    <w:abstractNumId w:val="33"/>
  </w:num>
  <w:num w:numId="39">
    <w:abstractNumId w:val="13"/>
  </w:num>
  <w:num w:numId="40">
    <w:abstractNumId w:val="12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10FC1"/>
    <w:rsid w:val="00011C1B"/>
    <w:rsid w:val="00014632"/>
    <w:rsid w:val="0004538E"/>
    <w:rsid w:val="00051F67"/>
    <w:rsid w:val="000577CB"/>
    <w:rsid w:val="00073919"/>
    <w:rsid w:val="000751E5"/>
    <w:rsid w:val="00081706"/>
    <w:rsid w:val="00085CA1"/>
    <w:rsid w:val="000861A8"/>
    <w:rsid w:val="000901F5"/>
    <w:rsid w:val="00093843"/>
    <w:rsid w:val="000A41D6"/>
    <w:rsid w:val="000B39C5"/>
    <w:rsid w:val="000B77D5"/>
    <w:rsid w:val="000C2C7C"/>
    <w:rsid w:val="000D3E54"/>
    <w:rsid w:val="000D5A7F"/>
    <w:rsid w:val="000D62C1"/>
    <w:rsid w:val="000F178A"/>
    <w:rsid w:val="000F793D"/>
    <w:rsid w:val="00102EBB"/>
    <w:rsid w:val="00104BFA"/>
    <w:rsid w:val="00117DE1"/>
    <w:rsid w:val="0012029A"/>
    <w:rsid w:val="00121F7E"/>
    <w:rsid w:val="00122A62"/>
    <w:rsid w:val="00123185"/>
    <w:rsid w:val="00147064"/>
    <w:rsid w:val="001625FE"/>
    <w:rsid w:val="001C03EA"/>
    <w:rsid w:val="001C4B7C"/>
    <w:rsid w:val="001C575C"/>
    <w:rsid w:val="001D048B"/>
    <w:rsid w:val="001E2D63"/>
    <w:rsid w:val="001F1544"/>
    <w:rsid w:val="001F439C"/>
    <w:rsid w:val="0020139E"/>
    <w:rsid w:val="0020582B"/>
    <w:rsid w:val="002131D6"/>
    <w:rsid w:val="00245962"/>
    <w:rsid w:val="00252AF2"/>
    <w:rsid w:val="00272F40"/>
    <w:rsid w:val="00277552"/>
    <w:rsid w:val="002808E6"/>
    <w:rsid w:val="002854CB"/>
    <w:rsid w:val="00293013"/>
    <w:rsid w:val="002A4668"/>
    <w:rsid w:val="002A76E7"/>
    <w:rsid w:val="002D4E16"/>
    <w:rsid w:val="003001F4"/>
    <w:rsid w:val="0030045D"/>
    <w:rsid w:val="00313223"/>
    <w:rsid w:val="0031438D"/>
    <w:rsid w:val="0031551A"/>
    <w:rsid w:val="00320912"/>
    <w:rsid w:val="00326825"/>
    <w:rsid w:val="0033641D"/>
    <w:rsid w:val="003368B3"/>
    <w:rsid w:val="0034071C"/>
    <w:rsid w:val="003457E0"/>
    <w:rsid w:val="003465F7"/>
    <w:rsid w:val="00361242"/>
    <w:rsid w:val="00362523"/>
    <w:rsid w:val="003649EA"/>
    <w:rsid w:val="00382A21"/>
    <w:rsid w:val="00385A7F"/>
    <w:rsid w:val="0039011C"/>
    <w:rsid w:val="00391D67"/>
    <w:rsid w:val="003942EF"/>
    <w:rsid w:val="003A21FF"/>
    <w:rsid w:val="003B0418"/>
    <w:rsid w:val="003B1F33"/>
    <w:rsid w:val="003B1F48"/>
    <w:rsid w:val="003B2034"/>
    <w:rsid w:val="003B464A"/>
    <w:rsid w:val="003C22ED"/>
    <w:rsid w:val="003D1B1F"/>
    <w:rsid w:val="003D7B1E"/>
    <w:rsid w:val="003F1EB8"/>
    <w:rsid w:val="003F733B"/>
    <w:rsid w:val="0043347B"/>
    <w:rsid w:val="004422DB"/>
    <w:rsid w:val="00461AE3"/>
    <w:rsid w:val="00463A83"/>
    <w:rsid w:val="004675C6"/>
    <w:rsid w:val="00472E90"/>
    <w:rsid w:val="004746ED"/>
    <w:rsid w:val="00485159"/>
    <w:rsid w:val="00497BB3"/>
    <w:rsid w:val="004A4853"/>
    <w:rsid w:val="004A7329"/>
    <w:rsid w:val="004B036B"/>
    <w:rsid w:val="004B1722"/>
    <w:rsid w:val="004B28E6"/>
    <w:rsid w:val="004B2DDC"/>
    <w:rsid w:val="004C0BD0"/>
    <w:rsid w:val="004C78F7"/>
    <w:rsid w:val="004D17BA"/>
    <w:rsid w:val="004E0F0C"/>
    <w:rsid w:val="004E1DD8"/>
    <w:rsid w:val="004E2FCA"/>
    <w:rsid w:val="004E4F90"/>
    <w:rsid w:val="004F316E"/>
    <w:rsid w:val="004F69CF"/>
    <w:rsid w:val="0050714C"/>
    <w:rsid w:val="00514E5B"/>
    <w:rsid w:val="0052324D"/>
    <w:rsid w:val="00525B65"/>
    <w:rsid w:val="00536944"/>
    <w:rsid w:val="005526E6"/>
    <w:rsid w:val="00557D20"/>
    <w:rsid w:val="005853CD"/>
    <w:rsid w:val="00590CA1"/>
    <w:rsid w:val="005A1CF7"/>
    <w:rsid w:val="005C1430"/>
    <w:rsid w:val="005D1643"/>
    <w:rsid w:val="005D38EB"/>
    <w:rsid w:val="005F2ECB"/>
    <w:rsid w:val="005F73CD"/>
    <w:rsid w:val="005F7D41"/>
    <w:rsid w:val="006128D2"/>
    <w:rsid w:val="00612ECF"/>
    <w:rsid w:val="0061402D"/>
    <w:rsid w:val="006207C4"/>
    <w:rsid w:val="006220B1"/>
    <w:rsid w:val="00625EFD"/>
    <w:rsid w:val="00634E1D"/>
    <w:rsid w:val="00635A03"/>
    <w:rsid w:val="006478BD"/>
    <w:rsid w:val="0065229B"/>
    <w:rsid w:val="00653559"/>
    <w:rsid w:val="00655617"/>
    <w:rsid w:val="006706E2"/>
    <w:rsid w:val="0068338C"/>
    <w:rsid w:val="00683DD6"/>
    <w:rsid w:val="00692B0E"/>
    <w:rsid w:val="00695D96"/>
    <w:rsid w:val="006A1A90"/>
    <w:rsid w:val="006A4211"/>
    <w:rsid w:val="006B3F59"/>
    <w:rsid w:val="006E1A02"/>
    <w:rsid w:val="00705939"/>
    <w:rsid w:val="00710828"/>
    <w:rsid w:val="00713AB0"/>
    <w:rsid w:val="00725240"/>
    <w:rsid w:val="00732CDF"/>
    <w:rsid w:val="0074772F"/>
    <w:rsid w:val="00752B22"/>
    <w:rsid w:val="007771B3"/>
    <w:rsid w:val="007956A4"/>
    <w:rsid w:val="00797C3F"/>
    <w:rsid w:val="007C0FE7"/>
    <w:rsid w:val="007D1796"/>
    <w:rsid w:val="007D6211"/>
    <w:rsid w:val="007E18B5"/>
    <w:rsid w:val="007E64D5"/>
    <w:rsid w:val="007F0796"/>
    <w:rsid w:val="007F6ED9"/>
    <w:rsid w:val="00814825"/>
    <w:rsid w:val="00823D26"/>
    <w:rsid w:val="00824741"/>
    <w:rsid w:val="008335F0"/>
    <w:rsid w:val="00833713"/>
    <w:rsid w:val="0083471F"/>
    <w:rsid w:val="00834F24"/>
    <w:rsid w:val="008515E9"/>
    <w:rsid w:val="008533F3"/>
    <w:rsid w:val="0085440D"/>
    <w:rsid w:val="00861333"/>
    <w:rsid w:val="00861E3F"/>
    <w:rsid w:val="00875D9A"/>
    <w:rsid w:val="008A3F3B"/>
    <w:rsid w:val="008A7D43"/>
    <w:rsid w:val="008C3941"/>
    <w:rsid w:val="008D3A85"/>
    <w:rsid w:val="008E4DFB"/>
    <w:rsid w:val="008F42CF"/>
    <w:rsid w:val="008F4928"/>
    <w:rsid w:val="00905205"/>
    <w:rsid w:val="00914A88"/>
    <w:rsid w:val="00931B86"/>
    <w:rsid w:val="00946BBB"/>
    <w:rsid w:val="0095134E"/>
    <w:rsid w:val="00954E6A"/>
    <w:rsid w:val="00965FD4"/>
    <w:rsid w:val="00973586"/>
    <w:rsid w:val="0097449A"/>
    <w:rsid w:val="009767D5"/>
    <w:rsid w:val="00976D4B"/>
    <w:rsid w:val="00980D12"/>
    <w:rsid w:val="0098381C"/>
    <w:rsid w:val="009842D4"/>
    <w:rsid w:val="0099690C"/>
    <w:rsid w:val="009B1158"/>
    <w:rsid w:val="009B19F4"/>
    <w:rsid w:val="009C3082"/>
    <w:rsid w:val="009C785A"/>
    <w:rsid w:val="009D2616"/>
    <w:rsid w:val="009E1F26"/>
    <w:rsid w:val="009E5041"/>
    <w:rsid w:val="009E6659"/>
    <w:rsid w:val="009E7074"/>
    <w:rsid w:val="009F221E"/>
    <w:rsid w:val="009F3A4A"/>
    <w:rsid w:val="009F4448"/>
    <w:rsid w:val="00A21BE2"/>
    <w:rsid w:val="00A23EDD"/>
    <w:rsid w:val="00A24F1A"/>
    <w:rsid w:val="00A327BA"/>
    <w:rsid w:val="00A3373C"/>
    <w:rsid w:val="00A33EF8"/>
    <w:rsid w:val="00A3685E"/>
    <w:rsid w:val="00A56E29"/>
    <w:rsid w:val="00A71DF8"/>
    <w:rsid w:val="00A73A10"/>
    <w:rsid w:val="00A949ED"/>
    <w:rsid w:val="00A9705F"/>
    <w:rsid w:val="00AA22E1"/>
    <w:rsid w:val="00AA7ADE"/>
    <w:rsid w:val="00AB1704"/>
    <w:rsid w:val="00AB6F11"/>
    <w:rsid w:val="00AC5BA4"/>
    <w:rsid w:val="00AF2C6C"/>
    <w:rsid w:val="00B062B6"/>
    <w:rsid w:val="00B10BEA"/>
    <w:rsid w:val="00B12D02"/>
    <w:rsid w:val="00B1417B"/>
    <w:rsid w:val="00B25627"/>
    <w:rsid w:val="00B26392"/>
    <w:rsid w:val="00B30B5A"/>
    <w:rsid w:val="00B328EB"/>
    <w:rsid w:val="00B330AC"/>
    <w:rsid w:val="00B33DF9"/>
    <w:rsid w:val="00B34B93"/>
    <w:rsid w:val="00B43D8B"/>
    <w:rsid w:val="00B46061"/>
    <w:rsid w:val="00B47175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955AA"/>
    <w:rsid w:val="00B96E18"/>
    <w:rsid w:val="00BA623E"/>
    <w:rsid w:val="00BA7C50"/>
    <w:rsid w:val="00BB0AA6"/>
    <w:rsid w:val="00BB70EB"/>
    <w:rsid w:val="00BD1919"/>
    <w:rsid w:val="00BD39FC"/>
    <w:rsid w:val="00BD3BFF"/>
    <w:rsid w:val="00BE4453"/>
    <w:rsid w:val="00BE5082"/>
    <w:rsid w:val="00BF2626"/>
    <w:rsid w:val="00C040BF"/>
    <w:rsid w:val="00C176EC"/>
    <w:rsid w:val="00C20B4F"/>
    <w:rsid w:val="00C224EC"/>
    <w:rsid w:val="00C62161"/>
    <w:rsid w:val="00C71B05"/>
    <w:rsid w:val="00C76573"/>
    <w:rsid w:val="00C86202"/>
    <w:rsid w:val="00C94018"/>
    <w:rsid w:val="00C95C48"/>
    <w:rsid w:val="00CC183B"/>
    <w:rsid w:val="00CD2430"/>
    <w:rsid w:val="00CE00CD"/>
    <w:rsid w:val="00D0147E"/>
    <w:rsid w:val="00D01AD2"/>
    <w:rsid w:val="00D01C3E"/>
    <w:rsid w:val="00D038E7"/>
    <w:rsid w:val="00D1304D"/>
    <w:rsid w:val="00D201BD"/>
    <w:rsid w:val="00D217AC"/>
    <w:rsid w:val="00D3529E"/>
    <w:rsid w:val="00D35E31"/>
    <w:rsid w:val="00D364C3"/>
    <w:rsid w:val="00D457BF"/>
    <w:rsid w:val="00D601F3"/>
    <w:rsid w:val="00D62554"/>
    <w:rsid w:val="00D800CD"/>
    <w:rsid w:val="00D93D80"/>
    <w:rsid w:val="00DB7220"/>
    <w:rsid w:val="00DC4E35"/>
    <w:rsid w:val="00DC5617"/>
    <w:rsid w:val="00DD1B42"/>
    <w:rsid w:val="00DD39C9"/>
    <w:rsid w:val="00DE535B"/>
    <w:rsid w:val="00E01FFA"/>
    <w:rsid w:val="00E0358F"/>
    <w:rsid w:val="00E05DCE"/>
    <w:rsid w:val="00E17AC2"/>
    <w:rsid w:val="00E24A97"/>
    <w:rsid w:val="00E34EE3"/>
    <w:rsid w:val="00E35BFD"/>
    <w:rsid w:val="00E37AF8"/>
    <w:rsid w:val="00E42C42"/>
    <w:rsid w:val="00E44F4C"/>
    <w:rsid w:val="00E455C9"/>
    <w:rsid w:val="00E50C95"/>
    <w:rsid w:val="00E561A2"/>
    <w:rsid w:val="00E73F50"/>
    <w:rsid w:val="00E863A0"/>
    <w:rsid w:val="00E926D8"/>
    <w:rsid w:val="00ED2646"/>
    <w:rsid w:val="00EE6B81"/>
    <w:rsid w:val="00EF7EAE"/>
    <w:rsid w:val="00F023D8"/>
    <w:rsid w:val="00F025E8"/>
    <w:rsid w:val="00F06EBE"/>
    <w:rsid w:val="00F265D9"/>
    <w:rsid w:val="00F277D3"/>
    <w:rsid w:val="00F32EF1"/>
    <w:rsid w:val="00F3321A"/>
    <w:rsid w:val="00F41208"/>
    <w:rsid w:val="00F4257E"/>
    <w:rsid w:val="00F60FF2"/>
    <w:rsid w:val="00F6458C"/>
    <w:rsid w:val="00F771FB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430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16</cp:revision>
  <cp:lastPrinted>2016-04-11T13:01:00Z</cp:lastPrinted>
  <dcterms:created xsi:type="dcterms:W3CDTF">2016-01-21T12:54:00Z</dcterms:created>
  <dcterms:modified xsi:type="dcterms:W3CDTF">2016-05-23T14:34:00Z</dcterms:modified>
</cp:coreProperties>
</file>