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857932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8E1978">
        <w:rPr>
          <w:rFonts w:ascii="Arial" w:hAnsi="Arial"/>
        </w:rPr>
        <w:t>11 février</w:t>
      </w:r>
      <w:r w:rsidR="00427E2F">
        <w:rPr>
          <w:rFonts w:ascii="Arial" w:hAnsi="Arial"/>
        </w:rPr>
        <w:t xml:space="preserve"> 2016</w:t>
      </w:r>
      <w:r w:rsidR="00DB0B58">
        <w:rPr>
          <w:rFonts w:ascii="Arial" w:hAnsi="Arial"/>
        </w:rPr>
        <w:tab/>
      </w:r>
      <w:r w:rsidR="00486418">
        <w:rPr>
          <w:rFonts w:ascii="Arial" w:hAnsi="Arial"/>
        </w:rPr>
        <w:t>2.</w:t>
      </w:r>
      <w:r w:rsidR="008E1978">
        <w:rPr>
          <w:rFonts w:ascii="Arial" w:hAnsi="Arial"/>
        </w:rPr>
        <w:t>2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8E1978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8E1978">
        <w:rPr>
          <w:rFonts w:ascii="Arial" w:hAnsi="Arial" w:cs="Arial"/>
          <w:sz w:val="24"/>
          <w:szCs w:val="24"/>
        </w:rPr>
        <w:t>FINANCES</w:t>
      </w:r>
    </w:p>
    <w:p w:rsidR="00D34E51" w:rsidRPr="008E1978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21480B" w:rsidRPr="008E1978" w:rsidRDefault="008E1978" w:rsidP="005B0FE6">
      <w:pPr>
        <w:pStyle w:val="Retraitcorpsdetexte3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FONDS DE SOUTIEN AUX COLLECTIVITES TERRITORIALES</w:t>
      </w:r>
    </w:p>
    <w:p w:rsidR="006F7AA0" w:rsidRPr="008E1978" w:rsidRDefault="008E1978" w:rsidP="005B0FE6">
      <w:pPr>
        <w:pStyle w:val="Retraitcorpsdetexte3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APPROBATION D'UNE CONVENTION A PASSER AVEC L'ETAT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F588E" w:rsidRDefault="004F588E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1958" w:rsidRDefault="000619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F588E" w:rsidRDefault="004F588E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Pr="00FA369C" w:rsidRDefault="004F588E" w:rsidP="00534B24">
      <w:pPr>
        <w:pStyle w:val="Normal2"/>
        <w:ind w:left="1418"/>
        <w:rPr>
          <w:szCs w:val="22"/>
        </w:rPr>
      </w:pPr>
      <w:r>
        <w:rPr>
          <w:b/>
          <w:szCs w:val="22"/>
        </w:rPr>
        <w:t>"</w:t>
      </w:r>
      <w:r w:rsidR="00FA369C" w:rsidRPr="00FA369C">
        <w:rPr>
          <w:szCs w:val="22"/>
        </w:rPr>
        <w:t xml:space="preserve">La ville de Riorges a contracté auprès de </w:t>
      </w:r>
      <w:r w:rsidR="008E1978">
        <w:rPr>
          <w:szCs w:val="22"/>
        </w:rPr>
        <w:t>DEXIA</w:t>
      </w:r>
      <w:r w:rsidR="00534B24">
        <w:rPr>
          <w:szCs w:val="22"/>
        </w:rPr>
        <w:t>,</w:t>
      </w:r>
      <w:r w:rsidR="00FA369C" w:rsidRPr="00FA369C">
        <w:rPr>
          <w:szCs w:val="22"/>
        </w:rPr>
        <w:t xml:space="preserve"> deux emprunts structurés :</w:t>
      </w:r>
    </w:p>
    <w:p w:rsidR="00FA369C" w:rsidRPr="00FA369C" w:rsidRDefault="00FA369C" w:rsidP="0019021B">
      <w:pPr>
        <w:pStyle w:val="Normal2"/>
        <w:numPr>
          <w:ilvl w:val="0"/>
          <w:numId w:val="28"/>
        </w:numPr>
        <w:spacing w:before="120"/>
        <w:ind w:left="1702" w:hanging="284"/>
        <w:rPr>
          <w:szCs w:val="22"/>
        </w:rPr>
      </w:pPr>
      <w:r w:rsidRPr="00FA369C">
        <w:rPr>
          <w:szCs w:val="22"/>
        </w:rPr>
        <w:t>l’un de 1 428 137</w:t>
      </w:r>
      <w:r w:rsidR="0019021B">
        <w:rPr>
          <w:szCs w:val="22"/>
        </w:rPr>
        <w:t>,</w:t>
      </w:r>
      <w:r w:rsidRPr="00FA369C">
        <w:rPr>
          <w:szCs w:val="22"/>
        </w:rPr>
        <w:t>29</w:t>
      </w:r>
      <w:r w:rsidR="0019021B">
        <w:rPr>
          <w:szCs w:val="22"/>
        </w:rPr>
        <w:t xml:space="preserve"> </w:t>
      </w:r>
      <w:r w:rsidRPr="00FA369C">
        <w:rPr>
          <w:szCs w:val="22"/>
        </w:rPr>
        <w:t>€ n°</w:t>
      </w:r>
      <w:r w:rsidR="0019021B">
        <w:rPr>
          <w:szCs w:val="22"/>
        </w:rPr>
        <w:t xml:space="preserve"> </w:t>
      </w:r>
      <w:r w:rsidRPr="00FA369C">
        <w:rPr>
          <w:szCs w:val="22"/>
        </w:rPr>
        <w:t>MON268982EUR (capital restant dû au 31/12/2013), classé 4E selon la charte de bonne conduite</w:t>
      </w:r>
      <w:r w:rsidR="0019021B">
        <w:rPr>
          <w:szCs w:val="22"/>
        </w:rPr>
        <w:t xml:space="preserve"> </w:t>
      </w:r>
      <w:r w:rsidRPr="00FA369C">
        <w:rPr>
          <w:szCs w:val="22"/>
        </w:rPr>
        <w:t>;</w:t>
      </w:r>
    </w:p>
    <w:p w:rsidR="00FA369C" w:rsidRPr="00FA369C" w:rsidRDefault="00FA369C" w:rsidP="0019021B">
      <w:pPr>
        <w:pStyle w:val="Normal2"/>
        <w:numPr>
          <w:ilvl w:val="0"/>
          <w:numId w:val="28"/>
        </w:numPr>
        <w:spacing w:before="120"/>
        <w:ind w:left="1702" w:hanging="284"/>
        <w:rPr>
          <w:szCs w:val="22"/>
        </w:rPr>
      </w:pPr>
      <w:r w:rsidRPr="00FA369C">
        <w:rPr>
          <w:szCs w:val="22"/>
        </w:rPr>
        <w:t>l’autre de 1 893 585</w:t>
      </w:r>
      <w:r w:rsidR="0019021B">
        <w:rPr>
          <w:szCs w:val="22"/>
        </w:rPr>
        <w:t>,</w:t>
      </w:r>
      <w:r w:rsidRPr="00FA369C">
        <w:rPr>
          <w:szCs w:val="22"/>
        </w:rPr>
        <w:t>35</w:t>
      </w:r>
      <w:r w:rsidR="0019021B">
        <w:rPr>
          <w:szCs w:val="22"/>
        </w:rPr>
        <w:t xml:space="preserve"> </w:t>
      </w:r>
      <w:r w:rsidRPr="00FA369C">
        <w:rPr>
          <w:szCs w:val="22"/>
        </w:rPr>
        <w:t>€ n°</w:t>
      </w:r>
      <w:r w:rsidR="0019021B">
        <w:rPr>
          <w:szCs w:val="22"/>
        </w:rPr>
        <w:t xml:space="preserve"> </w:t>
      </w:r>
      <w:r w:rsidRPr="00FA369C">
        <w:rPr>
          <w:szCs w:val="22"/>
        </w:rPr>
        <w:t>MPH266153EUR (capital restant dû au 31/12/2013), classé 3E selon la charte de bonne conduite.</w:t>
      </w:r>
    </w:p>
    <w:p w:rsidR="00FA369C" w:rsidRPr="00FA369C" w:rsidRDefault="00FA369C" w:rsidP="00534B24">
      <w:pPr>
        <w:pStyle w:val="Normal2"/>
        <w:ind w:left="1418"/>
        <w:rPr>
          <w:szCs w:val="22"/>
        </w:rPr>
      </w:pPr>
    </w:p>
    <w:p w:rsidR="00FA369C" w:rsidRPr="00FA369C" w:rsidRDefault="00FA369C" w:rsidP="00534B24">
      <w:pPr>
        <w:pStyle w:val="Normal2"/>
        <w:ind w:left="1418"/>
        <w:rPr>
          <w:szCs w:val="22"/>
        </w:rPr>
      </w:pPr>
      <w:r w:rsidRPr="00FA369C">
        <w:rPr>
          <w:szCs w:val="22"/>
        </w:rPr>
        <w:t xml:space="preserve">Ces deux contrats ont fait l’objet d’un remboursement anticipé suivi d’un refinancement auprès de la SFIL. 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La loi de finances pour 2014 dans son article 92 a cré</w:t>
      </w:r>
      <w:r w:rsidR="006959C1">
        <w:rPr>
          <w:szCs w:val="22"/>
        </w:rPr>
        <w:t>é</w:t>
      </w:r>
      <w:r w:rsidRPr="00FA369C">
        <w:rPr>
          <w:szCs w:val="22"/>
        </w:rPr>
        <w:t xml:space="preserve"> un fond</w:t>
      </w:r>
      <w:r w:rsidR="00B7238A">
        <w:rPr>
          <w:szCs w:val="22"/>
        </w:rPr>
        <w:t>s</w:t>
      </w:r>
      <w:r w:rsidRPr="00FA369C">
        <w:rPr>
          <w:szCs w:val="22"/>
        </w:rPr>
        <w:t xml:space="preserve"> de soutien en faveur des collectivités territoriales ayant souscrit des emprunts structurés.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P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La ville de Riorges étant éligible pour ces deux contrats</w:t>
      </w:r>
      <w:r w:rsidR="00710F5B">
        <w:rPr>
          <w:szCs w:val="22"/>
        </w:rPr>
        <w:t>,</w:t>
      </w:r>
      <w:r w:rsidRPr="00FA369C">
        <w:rPr>
          <w:szCs w:val="22"/>
        </w:rPr>
        <w:t xml:space="preserve"> a déposé un dossier auprès de la préfecture.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Pr="00FA369C" w:rsidRDefault="00FA369C" w:rsidP="00FA369C">
      <w:pPr>
        <w:pStyle w:val="Normal2"/>
        <w:ind w:left="1418"/>
        <w:rPr>
          <w:szCs w:val="22"/>
        </w:rPr>
      </w:pPr>
      <w:r>
        <w:rPr>
          <w:szCs w:val="22"/>
        </w:rPr>
        <w:t>Le</w:t>
      </w:r>
      <w:r w:rsidRPr="00FA369C">
        <w:rPr>
          <w:szCs w:val="22"/>
        </w:rPr>
        <w:t xml:space="preserve"> 28 décembre 2015, l’Etat a attribué une aide d’un montant de 25 262</w:t>
      </w:r>
      <w:r>
        <w:rPr>
          <w:szCs w:val="22"/>
        </w:rPr>
        <w:t>,</w:t>
      </w:r>
      <w:r w:rsidRPr="00FA369C">
        <w:rPr>
          <w:szCs w:val="22"/>
        </w:rPr>
        <w:t>50</w:t>
      </w:r>
      <w:r>
        <w:rPr>
          <w:szCs w:val="22"/>
        </w:rPr>
        <w:t xml:space="preserve"> </w:t>
      </w:r>
      <w:r w:rsidRPr="00FA369C">
        <w:rPr>
          <w:szCs w:val="22"/>
        </w:rPr>
        <w:t>€ pour le contrat n°</w:t>
      </w:r>
      <w:r>
        <w:rPr>
          <w:szCs w:val="22"/>
        </w:rPr>
        <w:t xml:space="preserve"> </w:t>
      </w:r>
      <w:r w:rsidRPr="00FA369C">
        <w:rPr>
          <w:szCs w:val="22"/>
        </w:rPr>
        <w:t>MON268982EUR et de 26 337</w:t>
      </w:r>
      <w:r>
        <w:rPr>
          <w:szCs w:val="22"/>
        </w:rPr>
        <w:t>,</w:t>
      </w:r>
      <w:r w:rsidRPr="00FA369C">
        <w:rPr>
          <w:szCs w:val="22"/>
        </w:rPr>
        <w:t>50</w:t>
      </w:r>
      <w:r>
        <w:rPr>
          <w:szCs w:val="22"/>
        </w:rPr>
        <w:t xml:space="preserve"> </w:t>
      </w:r>
      <w:r w:rsidRPr="00FA369C">
        <w:rPr>
          <w:szCs w:val="22"/>
        </w:rPr>
        <w:t>€ pour le contrat n°</w:t>
      </w:r>
      <w:r>
        <w:rPr>
          <w:szCs w:val="22"/>
        </w:rPr>
        <w:t> </w:t>
      </w:r>
      <w:r w:rsidRPr="00FA369C">
        <w:rPr>
          <w:szCs w:val="22"/>
        </w:rPr>
        <w:t>MPH266153EUR.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Pr="004F588E" w:rsidRDefault="00FA369C" w:rsidP="00FA369C">
      <w:pPr>
        <w:pStyle w:val="Normal2"/>
        <w:ind w:left="1418"/>
        <w:rPr>
          <w:b/>
          <w:szCs w:val="22"/>
        </w:rPr>
      </w:pPr>
      <w:r w:rsidRPr="00FA369C">
        <w:rPr>
          <w:szCs w:val="22"/>
        </w:rPr>
        <w:t xml:space="preserve">Le projet de convention type </w:t>
      </w:r>
      <w:r>
        <w:rPr>
          <w:szCs w:val="22"/>
        </w:rPr>
        <w:t xml:space="preserve">joint </w:t>
      </w:r>
      <w:r w:rsidRPr="00FA369C">
        <w:rPr>
          <w:szCs w:val="22"/>
        </w:rPr>
        <w:t>en annexe, indique les modalités de versement de l’aide (montant et calendrier) ainsi que les modalités de suspension et de restitution de l’aide en cas de non-respect des conditions d’octroi.</w:t>
      </w:r>
      <w:r w:rsidR="004F588E">
        <w:rPr>
          <w:b/>
          <w:szCs w:val="22"/>
        </w:rPr>
        <w:t>"</w:t>
      </w:r>
    </w:p>
    <w:p w:rsid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Vu le Code Général des Collectivités Territoriales et notamment se</w:t>
      </w:r>
      <w:r>
        <w:rPr>
          <w:szCs w:val="22"/>
        </w:rPr>
        <w:t>s articles L2121-7 et suivants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Vu la loi de finances n°</w:t>
      </w:r>
      <w:r>
        <w:rPr>
          <w:szCs w:val="22"/>
        </w:rPr>
        <w:t xml:space="preserve"> </w:t>
      </w:r>
      <w:r w:rsidRPr="00FA369C">
        <w:rPr>
          <w:szCs w:val="22"/>
        </w:rPr>
        <w:t>2013-1278 du 29 décembre 2013 pour l’année 2014, et notamment son article 92 instituant un fonds de soutien aux collectivités territoriales et à certains établissements publics ayant souscrit des contrats de prêt ou des contrats fi</w:t>
      </w:r>
      <w:r>
        <w:rPr>
          <w:szCs w:val="22"/>
        </w:rPr>
        <w:t>nanciers structurés à risque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Vu le décret n° 2014-444 du 29 avril 2014 modifié relatif au fonds de soutien aux collectivités territoriales et à certains établissements publics ayant souscrit des contrats de prêt ou des contrats financiers structurés à ri</w:t>
      </w:r>
      <w:r>
        <w:rPr>
          <w:szCs w:val="22"/>
        </w:rPr>
        <w:t>sque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Vu les arrêtés du 4 novembre 2014 et du 22 juillet 2015 pris en application du décret n°</w:t>
      </w:r>
      <w:r>
        <w:rPr>
          <w:szCs w:val="22"/>
        </w:rPr>
        <w:t> </w:t>
      </w:r>
      <w:r w:rsidRPr="00FA369C">
        <w:rPr>
          <w:szCs w:val="22"/>
        </w:rPr>
        <w:t>2014-444 du 29 avril 2014 portant application de l’article 92 de la loi n°</w:t>
      </w:r>
      <w:r>
        <w:rPr>
          <w:szCs w:val="22"/>
        </w:rPr>
        <w:t> </w:t>
      </w:r>
      <w:r w:rsidRPr="00FA369C">
        <w:rPr>
          <w:szCs w:val="22"/>
        </w:rPr>
        <w:t>2013-1278 du 29 décem</w:t>
      </w:r>
      <w:r>
        <w:rPr>
          <w:szCs w:val="22"/>
        </w:rPr>
        <w:t>bre 2013 de finances pour 2014 ;</w:t>
      </w:r>
    </w:p>
    <w:p w:rsidR="00FA369C" w:rsidRDefault="00FA369C" w:rsidP="00FA369C">
      <w:pPr>
        <w:pStyle w:val="Normal2"/>
        <w:ind w:left="1418"/>
        <w:rPr>
          <w:szCs w:val="22"/>
        </w:rPr>
      </w:pPr>
    </w:p>
    <w:p w:rsidR="004E4466" w:rsidRDefault="004E4466" w:rsidP="00FA369C">
      <w:pPr>
        <w:pStyle w:val="Normal2"/>
        <w:ind w:left="1418"/>
        <w:rPr>
          <w:szCs w:val="22"/>
        </w:rPr>
      </w:pPr>
    </w:p>
    <w:p w:rsidR="004E4466" w:rsidRDefault="004E4466" w:rsidP="00FA369C">
      <w:pPr>
        <w:pStyle w:val="Normal2"/>
        <w:ind w:left="1418"/>
        <w:rPr>
          <w:szCs w:val="22"/>
        </w:rPr>
      </w:pPr>
    </w:p>
    <w:p w:rsidR="004E4466" w:rsidRDefault="004E4466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 xml:space="preserve">Vu le dossier déposé auprès du représentant de l’Etat pour une demande d’aide au remboursement des contrats de prêt ou des contrats financiers structurés à risque contractés auprès de </w:t>
      </w:r>
      <w:r w:rsidR="008E1978">
        <w:rPr>
          <w:szCs w:val="22"/>
        </w:rPr>
        <w:t>DEXIA</w:t>
      </w:r>
      <w:r>
        <w:rPr>
          <w:szCs w:val="22"/>
        </w:rPr>
        <w:t xml:space="preserve">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 xml:space="preserve">Vu la notification de décision d’attribution d’aide pour le remboursement anticipé de contrats de prêts ou de contrats financiers structurés à risque, reçu du </w:t>
      </w:r>
      <w:r>
        <w:rPr>
          <w:szCs w:val="22"/>
        </w:rPr>
        <w:t>s</w:t>
      </w:r>
      <w:r w:rsidRPr="00FA369C">
        <w:rPr>
          <w:szCs w:val="22"/>
        </w:rPr>
        <w:t xml:space="preserve">ervice de pilotage du dispositif de sortie des emprunts à risque reçu le </w:t>
      </w:r>
      <w:r w:rsidR="008E1978">
        <w:rPr>
          <w:szCs w:val="22"/>
        </w:rPr>
        <w:t>11 janvier 2016</w:t>
      </w:r>
      <w:r>
        <w:rPr>
          <w:szCs w:val="22"/>
        </w:rPr>
        <w:t xml:space="preserve">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>
        <w:rPr>
          <w:szCs w:val="22"/>
        </w:rPr>
        <w:t>Vu le projet de convention pris</w:t>
      </w:r>
      <w:r w:rsidRPr="00FA369C">
        <w:rPr>
          <w:szCs w:val="22"/>
        </w:rPr>
        <w:t xml:space="preserve"> en application du 2° du I de l’article 3 du décret n°</w:t>
      </w:r>
      <w:r>
        <w:rPr>
          <w:szCs w:val="22"/>
        </w:rPr>
        <w:t> </w:t>
      </w:r>
      <w:r w:rsidRPr="00FA369C">
        <w:rPr>
          <w:szCs w:val="22"/>
        </w:rPr>
        <w:t>2014-444 du 29 avril 2014 relatif au fonds de soutien aux collectivités territoriales et à certains établissements publics ayant souscrit des contrats de prêt ou des contrats financiers structurés à risque ann</w:t>
      </w:r>
      <w:r>
        <w:rPr>
          <w:szCs w:val="22"/>
        </w:rPr>
        <w:t>exé à la présente délibération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Pr="00FA369C" w:rsidRDefault="00FA369C" w:rsidP="00FA369C">
      <w:pPr>
        <w:pStyle w:val="Normal2"/>
        <w:ind w:left="1418"/>
        <w:rPr>
          <w:szCs w:val="22"/>
        </w:rPr>
      </w:pPr>
      <w:r w:rsidRPr="00FA369C">
        <w:rPr>
          <w:szCs w:val="22"/>
        </w:rPr>
        <w:t>Considérant qu’afin de finaliser le dossier complémentaire visé au V de l’article 2 du décret n°</w:t>
      </w:r>
      <w:r>
        <w:rPr>
          <w:szCs w:val="22"/>
        </w:rPr>
        <w:t> </w:t>
      </w:r>
      <w:r w:rsidRPr="00FA369C">
        <w:rPr>
          <w:szCs w:val="22"/>
        </w:rPr>
        <w:t>2014-444 du 29 avril 2014 relatif au fonds de soutien aux collectivités territoriales et à certains établissements publics ayant souscrit des contrats de prêt ou des contrats financiers structurés à risque, il convient d’autoriser l’exécutif à signer avec le représentant de l’Etat</w:t>
      </w:r>
      <w:bookmarkStart w:id="0" w:name="_GoBack"/>
      <w:bookmarkEnd w:id="0"/>
      <w:r w:rsidRPr="00FA369C">
        <w:rPr>
          <w:szCs w:val="22"/>
        </w:rPr>
        <w:t xml:space="preserve"> la convention prise en application du 2° du I de l’article 3 du décret n°2014-444 du 29 avril 2014 relatif au fonds de soutien aux collectivités territoriales et à certains établissements publics ayant souscrit des contrats de prêt ou des contrats financiers structurés à risque</w:t>
      </w:r>
      <w:r>
        <w:rPr>
          <w:szCs w:val="22"/>
        </w:rPr>
        <w:t xml:space="preserve"> ;</w:t>
      </w:r>
    </w:p>
    <w:p w:rsidR="00FA369C" w:rsidRP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  <w:r>
        <w:rPr>
          <w:szCs w:val="22"/>
        </w:rPr>
        <w:t>Après en avoir délibéré, le conseil municipal, à l'unanimité :</w:t>
      </w:r>
    </w:p>
    <w:p w:rsidR="00FA369C" w:rsidRDefault="008E1978" w:rsidP="00FA369C">
      <w:pPr>
        <w:numPr>
          <w:ilvl w:val="0"/>
          <w:numId w:val="29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eastAsia="SimSun" w:hAnsi="Arial"/>
          <w:sz w:val="22"/>
          <w:szCs w:val="22"/>
        </w:rPr>
        <w:t>approuve la convention à passer</w:t>
      </w:r>
      <w:r w:rsidR="00FA369C" w:rsidRPr="00FA369C">
        <w:rPr>
          <w:rFonts w:ascii="Arial" w:eastAsia="SimSun" w:hAnsi="Arial"/>
          <w:sz w:val="22"/>
          <w:szCs w:val="22"/>
        </w:rPr>
        <w:t xml:space="preserve"> avec le </w:t>
      </w:r>
      <w:r w:rsidR="00FA369C">
        <w:rPr>
          <w:rFonts w:ascii="Arial" w:eastAsia="SimSun" w:hAnsi="Arial"/>
          <w:sz w:val="22"/>
          <w:szCs w:val="22"/>
        </w:rPr>
        <w:t>r</w:t>
      </w:r>
      <w:r w:rsidR="00FA369C" w:rsidRPr="00FA369C">
        <w:rPr>
          <w:rFonts w:ascii="Arial" w:eastAsia="SimSun" w:hAnsi="Arial"/>
          <w:sz w:val="22"/>
          <w:szCs w:val="22"/>
        </w:rPr>
        <w:t>eprésentant de l’Etat</w:t>
      </w:r>
      <w:r w:rsidR="00FA369C">
        <w:rPr>
          <w:rFonts w:ascii="Arial" w:eastAsia="SimSun" w:hAnsi="Arial"/>
          <w:sz w:val="22"/>
          <w:szCs w:val="22"/>
        </w:rPr>
        <w:t>,</w:t>
      </w:r>
      <w:r w:rsidR="00FA369C" w:rsidRPr="00FA369C">
        <w:rPr>
          <w:rFonts w:ascii="Arial" w:eastAsia="SimSun" w:hAnsi="Arial"/>
          <w:sz w:val="22"/>
          <w:szCs w:val="22"/>
        </w:rPr>
        <w:t xml:space="preserve"> en application du 2° du I de l’article 3 du décret n°2014-444 du 29 avril 2014 relatif au fonds de soutien aux collectivités territoriales et à certains établissements publics ayant souscrit des contrats de prêt ou des contrats financiers structurés à risque, </w:t>
      </w:r>
      <w:r>
        <w:rPr>
          <w:rFonts w:ascii="Arial" w:eastAsia="SimSun" w:hAnsi="Arial"/>
          <w:sz w:val="22"/>
          <w:szCs w:val="22"/>
        </w:rPr>
        <w:t>dont le projet est</w:t>
      </w:r>
      <w:r w:rsidR="00FA369C" w:rsidRPr="00FA369C">
        <w:rPr>
          <w:rFonts w:ascii="Arial" w:eastAsia="SimSun" w:hAnsi="Arial"/>
          <w:sz w:val="22"/>
          <w:szCs w:val="22"/>
        </w:rPr>
        <w:t xml:space="preserve"> à la présente délibération</w:t>
      </w:r>
      <w:r w:rsidR="00FA369C">
        <w:rPr>
          <w:rFonts w:ascii="Arial" w:eastAsia="SimSun" w:hAnsi="Arial"/>
          <w:sz w:val="22"/>
          <w:szCs w:val="22"/>
        </w:rPr>
        <w:t xml:space="preserve"> </w:t>
      </w:r>
      <w:r w:rsidR="00FA369C">
        <w:rPr>
          <w:rFonts w:ascii="Arial" w:hAnsi="Arial"/>
          <w:sz w:val="22"/>
        </w:rPr>
        <w:t>;</w:t>
      </w:r>
    </w:p>
    <w:p w:rsidR="00FA369C" w:rsidRPr="00FA369C" w:rsidRDefault="00FA369C" w:rsidP="00FA369C">
      <w:pPr>
        <w:numPr>
          <w:ilvl w:val="0"/>
          <w:numId w:val="29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eastAsia="SimSun" w:hAnsi="Arial"/>
          <w:sz w:val="22"/>
          <w:szCs w:val="22"/>
        </w:rPr>
        <w:t>a</w:t>
      </w:r>
      <w:r w:rsidRPr="00FA369C">
        <w:rPr>
          <w:rFonts w:ascii="Arial" w:eastAsia="SimSun" w:hAnsi="Arial"/>
          <w:sz w:val="22"/>
          <w:szCs w:val="22"/>
        </w:rPr>
        <w:t xml:space="preserve">utorise le Maire à </w:t>
      </w:r>
      <w:r w:rsidR="008E1978">
        <w:rPr>
          <w:rFonts w:ascii="Arial" w:eastAsia="SimSun" w:hAnsi="Arial"/>
          <w:sz w:val="22"/>
          <w:szCs w:val="22"/>
        </w:rPr>
        <w:t xml:space="preserve">la </w:t>
      </w:r>
      <w:r w:rsidRPr="00FA369C">
        <w:rPr>
          <w:rFonts w:ascii="Arial" w:eastAsia="SimSun" w:hAnsi="Arial"/>
          <w:sz w:val="22"/>
          <w:szCs w:val="22"/>
        </w:rPr>
        <w:t xml:space="preserve">signer </w:t>
      </w:r>
      <w:r w:rsidR="008E1978">
        <w:rPr>
          <w:rFonts w:ascii="Arial" w:eastAsia="SimSun" w:hAnsi="Arial"/>
          <w:sz w:val="22"/>
          <w:szCs w:val="22"/>
        </w:rPr>
        <w:t xml:space="preserve">ainsi que </w:t>
      </w:r>
      <w:r w:rsidRPr="00FA369C">
        <w:rPr>
          <w:rFonts w:ascii="Arial" w:eastAsia="SimSun" w:hAnsi="Arial"/>
          <w:sz w:val="22"/>
          <w:szCs w:val="22"/>
        </w:rPr>
        <w:t>toute pièce utile au règlement de ce dossier</w:t>
      </w:r>
      <w:r>
        <w:rPr>
          <w:rFonts w:ascii="Arial" w:eastAsia="SimSun" w:hAnsi="Arial"/>
          <w:sz w:val="22"/>
          <w:szCs w:val="22"/>
        </w:rPr>
        <w:t xml:space="preserve"> ;</w:t>
      </w:r>
    </w:p>
    <w:p w:rsidR="00FA369C" w:rsidRDefault="00FA369C" w:rsidP="00FA369C">
      <w:pPr>
        <w:numPr>
          <w:ilvl w:val="0"/>
          <w:numId w:val="29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eastAsia="SimSun" w:hAnsi="Arial"/>
          <w:sz w:val="22"/>
          <w:szCs w:val="22"/>
        </w:rPr>
        <w:t>d</w:t>
      </w:r>
      <w:r w:rsidRPr="00FA369C">
        <w:rPr>
          <w:rFonts w:ascii="Arial" w:eastAsia="SimSun" w:hAnsi="Arial"/>
          <w:sz w:val="22"/>
          <w:szCs w:val="22"/>
        </w:rPr>
        <w:t>it que la présente délibération peut faire l’objet d’un recours pour excès de pouvoir devant le Tribunal Administratif dans un délai de deux mois à compter de sa transmission au contrôle de légalité et de sa publication</w:t>
      </w:r>
      <w:r>
        <w:rPr>
          <w:rFonts w:ascii="Arial" w:eastAsia="SimSun" w:hAnsi="Arial"/>
          <w:sz w:val="22"/>
          <w:szCs w:val="22"/>
        </w:rPr>
        <w:t>.</w:t>
      </w:r>
    </w:p>
    <w:p w:rsidR="00FA369C" w:rsidRDefault="00FA369C" w:rsidP="00FA369C">
      <w:pPr>
        <w:pStyle w:val="Normal2"/>
        <w:ind w:left="1418"/>
        <w:rPr>
          <w:szCs w:val="22"/>
        </w:rPr>
      </w:pPr>
    </w:p>
    <w:p w:rsidR="00FA369C" w:rsidRDefault="00FA369C" w:rsidP="00FA369C">
      <w:pPr>
        <w:pStyle w:val="Normal2"/>
        <w:ind w:left="1418"/>
        <w:rPr>
          <w:szCs w:val="22"/>
        </w:rPr>
      </w:pPr>
    </w:p>
    <w:p w:rsidR="00AB0A90" w:rsidRPr="00FA369C" w:rsidRDefault="00AB0A90" w:rsidP="00FA369C">
      <w:pPr>
        <w:pStyle w:val="Normal2"/>
        <w:ind w:left="1418"/>
        <w:rPr>
          <w:szCs w:val="22"/>
        </w:rPr>
      </w:pPr>
    </w:p>
    <w:sectPr w:rsidR="00AB0A90" w:rsidRPr="00FA369C" w:rsidSect="0080128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32" w:rsidRDefault="00857932">
      <w:r>
        <w:separator/>
      </w:r>
    </w:p>
  </w:endnote>
  <w:endnote w:type="continuationSeparator" w:id="0">
    <w:p w:rsidR="00857932" w:rsidRDefault="0085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Pr="00DB0B58" w:rsidRDefault="00857932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32" w:rsidRDefault="00857932">
      <w:r>
        <w:separator/>
      </w:r>
    </w:p>
  </w:footnote>
  <w:footnote w:type="continuationSeparator" w:id="0">
    <w:p w:rsidR="00857932" w:rsidRDefault="0085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Default="00857932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Default="00857932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E747E30"/>
    <w:multiLevelType w:val="hybridMultilevel"/>
    <w:tmpl w:val="70E44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9"/>
  </w:num>
  <w:num w:numId="9">
    <w:abstractNumId w:val="2"/>
  </w:num>
  <w:num w:numId="10">
    <w:abstractNumId w:val="26"/>
  </w:num>
  <w:num w:numId="11">
    <w:abstractNumId w:val="14"/>
  </w:num>
  <w:num w:numId="12">
    <w:abstractNumId w:val="13"/>
  </w:num>
  <w:num w:numId="13">
    <w:abstractNumId w:val="6"/>
  </w:num>
  <w:num w:numId="14">
    <w:abstractNumId w:val="20"/>
  </w:num>
  <w:num w:numId="15">
    <w:abstractNumId w:val="23"/>
  </w:num>
  <w:num w:numId="16">
    <w:abstractNumId w:val="25"/>
  </w:num>
  <w:num w:numId="17">
    <w:abstractNumId w:val="1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  <w:num w:numId="23">
    <w:abstractNumId w:val="22"/>
  </w:num>
  <w:num w:numId="24">
    <w:abstractNumId w:val="21"/>
  </w:num>
  <w:num w:numId="25">
    <w:abstractNumId w:val="17"/>
  </w:num>
  <w:num w:numId="26">
    <w:abstractNumId w:val="24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752AE"/>
    <w:rsid w:val="00081457"/>
    <w:rsid w:val="00094F50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021B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016F6"/>
    <w:rsid w:val="003133AA"/>
    <w:rsid w:val="003311AF"/>
    <w:rsid w:val="00342E8A"/>
    <w:rsid w:val="00352264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27E2F"/>
    <w:rsid w:val="00434281"/>
    <w:rsid w:val="004417CC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E4466"/>
    <w:rsid w:val="004F4CEC"/>
    <w:rsid w:val="004F588E"/>
    <w:rsid w:val="00513B82"/>
    <w:rsid w:val="005173B4"/>
    <w:rsid w:val="005250BF"/>
    <w:rsid w:val="00525A84"/>
    <w:rsid w:val="00534B24"/>
    <w:rsid w:val="00537DEF"/>
    <w:rsid w:val="005532AE"/>
    <w:rsid w:val="00556024"/>
    <w:rsid w:val="00557BE2"/>
    <w:rsid w:val="005604E7"/>
    <w:rsid w:val="00561AC7"/>
    <w:rsid w:val="005633F2"/>
    <w:rsid w:val="005650CA"/>
    <w:rsid w:val="005717D2"/>
    <w:rsid w:val="00581E87"/>
    <w:rsid w:val="00583224"/>
    <w:rsid w:val="005841E3"/>
    <w:rsid w:val="00591910"/>
    <w:rsid w:val="005A2E44"/>
    <w:rsid w:val="005B0FE6"/>
    <w:rsid w:val="005B2A0E"/>
    <w:rsid w:val="005B4B4E"/>
    <w:rsid w:val="005C5D47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959C1"/>
    <w:rsid w:val="006A5E69"/>
    <w:rsid w:val="006B163B"/>
    <w:rsid w:val="006C26AD"/>
    <w:rsid w:val="006E1672"/>
    <w:rsid w:val="006E490D"/>
    <w:rsid w:val="006F3CA2"/>
    <w:rsid w:val="006F7AA0"/>
    <w:rsid w:val="0070755F"/>
    <w:rsid w:val="00710F5B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B1934"/>
    <w:rsid w:val="008D5680"/>
    <w:rsid w:val="008E1978"/>
    <w:rsid w:val="008F0A90"/>
    <w:rsid w:val="008F43A0"/>
    <w:rsid w:val="008F726B"/>
    <w:rsid w:val="00907FC9"/>
    <w:rsid w:val="00920BAA"/>
    <w:rsid w:val="00924CD1"/>
    <w:rsid w:val="00925121"/>
    <w:rsid w:val="00932E65"/>
    <w:rsid w:val="00941FC5"/>
    <w:rsid w:val="00952EEB"/>
    <w:rsid w:val="00956FD9"/>
    <w:rsid w:val="00961630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50BFB"/>
    <w:rsid w:val="00A57199"/>
    <w:rsid w:val="00A62A57"/>
    <w:rsid w:val="00A62CAD"/>
    <w:rsid w:val="00A734AE"/>
    <w:rsid w:val="00A73E19"/>
    <w:rsid w:val="00A804CD"/>
    <w:rsid w:val="00A826E0"/>
    <w:rsid w:val="00A84C9F"/>
    <w:rsid w:val="00A942DB"/>
    <w:rsid w:val="00AB0A90"/>
    <w:rsid w:val="00AB6664"/>
    <w:rsid w:val="00AC169A"/>
    <w:rsid w:val="00AD2EB7"/>
    <w:rsid w:val="00AD5A07"/>
    <w:rsid w:val="00AE5287"/>
    <w:rsid w:val="00AE5F07"/>
    <w:rsid w:val="00B00CDA"/>
    <w:rsid w:val="00B116DC"/>
    <w:rsid w:val="00B23BA8"/>
    <w:rsid w:val="00B2604B"/>
    <w:rsid w:val="00B341A9"/>
    <w:rsid w:val="00B356C2"/>
    <w:rsid w:val="00B52558"/>
    <w:rsid w:val="00B55AD9"/>
    <w:rsid w:val="00B56796"/>
    <w:rsid w:val="00B66283"/>
    <w:rsid w:val="00B7238A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5B05"/>
    <w:rsid w:val="00C42CB8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374C4"/>
    <w:rsid w:val="00E4124D"/>
    <w:rsid w:val="00E46BDD"/>
    <w:rsid w:val="00E46C20"/>
    <w:rsid w:val="00E62297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BAE"/>
    <w:rsid w:val="00F55B1D"/>
    <w:rsid w:val="00F74008"/>
    <w:rsid w:val="00F76F7B"/>
    <w:rsid w:val="00F803B9"/>
    <w:rsid w:val="00F852C3"/>
    <w:rsid w:val="00F92116"/>
    <w:rsid w:val="00FA369C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paragraph" w:customStyle="1" w:styleId="Normal2">
    <w:name w:val="Normal2"/>
    <w:basedOn w:val="Normal"/>
    <w:link w:val="NormalCar1"/>
    <w:qFormat/>
    <w:rsid w:val="00FA369C"/>
    <w:pPr>
      <w:jc w:val="both"/>
    </w:pPr>
    <w:rPr>
      <w:rFonts w:ascii="Arial" w:eastAsia="SimSun" w:hAnsi="Arial"/>
      <w:sz w:val="22"/>
    </w:rPr>
  </w:style>
  <w:style w:type="character" w:customStyle="1" w:styleId="NormalCar1">
    <w:name w:val="Normal Car1"/>
    <w:basedOn w:val="Policepardfaut"/>
    <w:link w:val="Normal2"/>
    <w:rsid w:val="00FA369C"/>
    <w:rPr>
      <w:rFonts w:ascii="Arial" w:eastAsia="SimSu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8157-DD31-41C4-8A15-8B7CC2B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2016-02-15T12:28:00Z</cp:lastPrinted>
  <dcterms:created xsi:type="dcterms:W3CDTF">2016-02-01T10:24:00Z</dcterms:created>
  <dcterms:modified xsi:type="dcterms:W3CDTF">2016-02-15T12:29:00Z</dcterms:modified>
</cp:coreProperties>
</file>