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443A8D" w:rsidP="003815AF">
      <w:pPr>
        <w:pStyle w:val="Titre1"/>
        <w:tabs>
          <w:tab w:val="clear" w:pos="3261"/>
          <w:tab w:val="right" w:pos="9639"/>
        </w:tabs>
        <w:ind w:left="567"/>
        <w:rPr>
          <w:rFonts w:ascii="Arial" w:hAnsi="Arial"/>
        </w:rPr>
      </w:pPr>
      <w:r>
        <w:rPr>
          <w:rFonts w:ascii="Arial" w:hAnsi="Arial"/>
        </w:rPr>
        <w:t>Délibération du c</w:t>
      </w:r>
      <w:r w:rsidR="00D34486">
        <w:rPr>
          <w:rFonts w:ascii="Arial" w:hAnsi="Arial"/>
        </w:rPr>
        <w:t>onseil</w:t>
      </w:r>
      <w:r w:rsidR="005D0829">
        <w:rPr>
          <w:rFonts w:ascii="Arial" w:hAnsi="Arial"/>
        </w:rPr>
        <w:t xml:space="preserve"> municipal du </w:t>
      </w:r>
      <w:r w:rsidR="000777E3">
        <w:rPr>
          <w:rFonts w:ascii="Arial" w:hAnsi="Arial"/>
        </w:rPr>
        <w:t>7 juillet</w:t>
      </w:r>
      <w:r w:rsidR="00356EAE">
        <w:rPr>
          <w:rFonts w:ascii="Arial" w:hAnsi="Arial"/>
        </w:rPr>
        <w:t xml:space="preserve"> 201</w:t>
      </w:r>
      <w:r w:rsidR="00EB3FF9">
        <w:rPr>
          <w:rFonts w:ascii="Arial" w:hAnsi="Arial"/>
        </w:rPr>
        <w:t>6</w:t>
      </w:r>
      <w:r w:rsidR="006700E2">
        <w:rPr>
          <w:rFonts w:ascii="Arial" w:hAnsi="Arial"/>
        </w:rPr>
        <w:tab/>
      </w:r>
      <w:r w:rsidR="007B23B0">
        <w:rPr>
          <w:rFonts w:ascii="Arial" w:hAnsi="Arial"/>
        </w:rPr>
        <w:t>6.1</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FD5A59" w:rsidRDefault="000777E3" w:rsidP="004A0230">
      <w:pPr>
        <w:jc w:val="right"/>
        <w:rPr>
          <w:rFonts w:ascii="Arial" w:hAnsi="Arial"/>
          <w:b/>
          <w:sz w:val="22"/>
          <w:szCs w:val="24"/>
          <w:lang w:eastAsia="en-US"/>
        </w:rPr>
      </w:pPr>
      <w:r>
        <w:rPr>
          <w:rFonts w:ascii="Arial" w:hAnsi="Arial"/>
          <w:b/>
          <w:sz w:val="22"/>
          <w:szCs w:val="24"/>
          <w:lang w:eastAsia="en-US"/>
        </w:rPr>
        <w:t>ANIMATIONS CULTURELLES MUNICIPALES</w:t>
      </w:r>
    </w:p>
    <w:p w:rsidR="000777E3" w:rsidRDefault="000777E3" w:rsidP="004A0230">
      <w:pPr>
        <w:jc w:val="right"/>
        <w:rPr>
          <w:rFonts w:ascii="Arial" w:hAnsi="Arial"/>
          <w:b/>
          <w:sz w:val="22"/>
          <w:szCs w:val="24"/>
          <w:lang w:eastAsia="en-US"/>
        </w:rPr>
      </w:pPr>
      <w:r>
        <w:rPr>
          <w:rFonts w:ascii="Arial" w:hAnsi="Arial"/>
          <w:b/>
          <w:sz w:val="22"/>
          <w:szCs w:val="24"/>
          <w:lang w:eastAsia="en-US"/>
        </w:rPr>
        <w:t>AUTORISATION DONNEE AU MAIRE</w:t>
      </w:r>
    </w:p>
    <w:p w:rsidR="000777E3" w:rsidRDefault="000777E3" w:rsidP="004A0230">
      <w:pPr>
        <w:jc w:val="right"/>
        <w:rPr>
          <w:rFonts w:ascii="Arial" w:hAnsi="Arial"/>
          <w:b/>
          <w:sz w:val="22"/>
          <w:szCs w:val="24"/>
          <w:lang w:eastAsia="en-US"/>
        </w:rPr>
      </w:pPr>
      <w:r>
        <w:rPr>
          <w:rFonts w:ascii="Arial" w:hAnsi="Arial"/>
          <w:b/>
          <w:sz w:val="22"/>
          <w:szCs w:val="24"/>
          <w:lang w:eastAsia="en-US"/>
        </w:rPr>
        <w:t>DE SIGNER LES CONTRATS RELATIFS</w:t>
      </w:r>
    </w:p>
    <w:p w:rsidR="000777E3" w:rsidRDefault="000777E3" w:rsidP="004A0230">
      <w:pPr>
        <w:jc w:val="right"/>
        <w:rPr>
          <w:rFonts w:ascii="Arial" w:hAnsi="Arial"/>
          <w:b/>
          <w:sz w:val="22"/>
          <w:szCs w:val="24"/>
          <w:lang w:eastAsia="en-US"/>
        </w:rPr>
      </w:pPr>
      <w:r>
        <w:rPr>
          <w:rFonts w:ascii="Arial" w:hAnsi="Arial"/>
          <w:b/>
          <w:sz w:val="22"/>
          <w:szCs w:val="24"/>
          <w:lang w:eastAsia="en-US"/>
        </w:rPr>
        <w:t xml:space="preserve">AUX SPECTACLES </w:t>
      </w:r>
      <w:r w:rsidR="00126EA1">
        <w:rPr>
          <w:rFonts w:ascii="Arial" w:hAnsi="Arial"/>
          <w:b/>
          <w:sz w:val="22"/>
          <w:szCs w:val="24"/>
          <w:lang w:eastAsia="en-US"/>
        </w:rPr>
        <w:t xml:space="preserve">DU </w:t>
      </w:r>
      <w:r>
        <w:rPr>
          <w:rFonts w:ascii="Arial" w:hAnsi="Arial"/>
          <w:b/>
          <w:sz w:val="22"/>
          <w:szCs w:val="24"/>
          <w:lang w:eastAsia="en-US"/>
        </w:rPr>
        <w:t>2</w:t>
      </w:r>
      <w:r w:rsidRPr="000777E3">
        <w:rPr>
          <w:rFonts w:ascii="Arial" w:hAnsi="Arial"/>
          <w:b/>
          <w:sz w:val="22"/>
          <w:szCs w:val="24"/>
          <w:vertAlign w:val="superscript"/>
          <w:lang w:eastAsia="en-US"/>
        </w:rPr>
        <w:t>ème</w:t>
      </w:r>
      <w:r>
        <w:rPr>
          <w:rFonts w:ascii="Arial" w:hAnsi="Arial"/>
          <w:b/>
          <w:sz w:val="22"/>
          <w:szCs w:val="24"/>
          <w:lang w:eastAsia="en-US"/>
        </w:rPr>
        <w:t xml:space="preserve"> SEMESTRE 2016</w:t>
      </w:r>
    </w:p>
    <w:p w:rsidR="004A0230" w:rsidRDefault="004A0230" w:rsidP="004A0230">
      <w:pPr>
        <w:ind w:left="1418"/>
        <w:jc w:val="both"/>
        <w:rPr>
          <w:rFonts w:ascii="Arial" w:hAnsi="Arial"/>
          <w:sz w:val="22"/>
        </w:rPr>
      </w:pPr>
    </w:p>
    <w:p w:rsidR="000777E3" w:rsidRDefault="000777E3" w:rsidP="000777E3">
      <w:pPr>
        <w:ind w:left="1418"/>
        <w:jc w:val="both"/>
        <w:rPr>
          <w:rFonts w:ascii="Arial" w:hAnsi="Arial"/>
          <w:sz w:val="22"/>
        </w:rPr>
      </w:pPr>
    </w:p>
    <w:p w:rsidR="00443A8D" w:rsidRDefault="00443A8D" w:rsidP="000777E3">
      <w:pPr>
        <w:ind w:left="1418"/>
        <w:jc w:val="both"/>
        <w:rPr>
          <w:rFonts w:ascii="Arial" w:hAnsi="Arial"/>
          <w:sz w:val="22"/>
        </w:rPr>
      </w:pPr>
    </w:p>
    <w:p w:rsidR="00443A8D" w:rsidRDefault="00443A8D" w:rsidP="000777E3">
      <w:pPr>
        <w:ind w:left="1418"/>
        <w:jc w:val="both"/>
        <w:rPr>
          <w:rFonts w:ascii="Arial" w:hAnsi="Arial"/>
          <w:sz w:val="22"/>
        </w:rPr>
      </w:pPr>
    </w:p>
    <w:p w:rsidR="00443A8D" w:rsidRDefault="00443A8D"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0777E3" w:rsidRDefault="000777E3" w:rsidP="000777E3">
      <w:pPr>
        <w:ind w:left="1418"/>
        <w:jc w:val="both"/>
        <w:rPr>
          <w:rFonts w:ascii="Arial" w:hAnsi="Arial"/>
          <w:sz w:val="22"/>
        </w:rPr>
      </w:pPr>
    </w:p>
    <w:p w:rsidR="000777E3" w:rsidRDefault="00443A8D" w:rsidP="000777E3">
      <w:pPr>
        <w:ind w:left="1418"/>
        <w:jc w:val="both"/>
        <w:rPr>
          <w:rFonts w:ascii="Arial" w:hAnsi="Arial"/>
          <w:sz w:val="22"/>
        </w:rPr>
      </w:pPr>
      <w:r>
        <w:rPr>
          <w:rFonts w:ascii="Arial" w:hAnsi="Arial"/>
          <w:b/>
          <w:sz w:val="22"/>
        </w:rPr>
        <w:t>"</w:t>
      </w:r>
      <w:r w:rsidR="000777E3">
        <w:rPr>
          <w:rFonts w:ascii="Arial" w:hAnsi="Arial"/>
          <w:sz w:val="22"/>
        </w:rPr>
        <w:t xml:space="preserve">Au cours du prochain semestre, la programmation culturelle municipale verra le lancement d’une nouvelle saison des concerts de musiques actuelles des "Mardi(s) du Grand Marais". </w:t>
      </w:r>
    </w:p>
    <w:p w:rsidR="000777E3" w:rsidRDefault="000777E3" w:rsidP="000777E3">
      <w:pPr>
        <w:ind w:left="1418"/>
        <w:jc w:val="both"/>
        <w:rPr>
          <w:rFonts w:ascii="Arial" w:hAnsi="Arial"/>
          <w:sz w:val="22"/>
        </w:rPr>
      </w:pPr>
    </w:p>
    <w:p w:rsidR="000777E3" w:rsidRDefault="000777E3" w:rsidP="000777E3">
      <w:pPr>
        <w:ind w:left="1418"/>
        <w:jc w:val="both"/>
        <w:rPr>
          <w:rFonts w:ascii="Arial" w:hAnsi="Arial"/>
          <w:sz w:val="22"/>
        </w:rPr>
      </w:pPr>
      <w:r>
        <w:rPr>
          <w:rFonts w:ascii="Arial" w:hAnsi="Arial"/>
          <w:sz w:val="22"/>
        </w:rPr>
        <w:t>Sept concerts sont ainsi prévus au second semestre 2016 dans le cadre des  "Mardi(s) du Grand Marais", qui feront la part belle aux découvertes musicales les plus variées mais aussi à quelques groupes disposant d’une certaine renommée médiatique dans leur domaine.</w:t>
      </w:r>
    </w:p>
    <w:p w:rsidR="000777E3" w:rsidRDefault="000777E3" w:rsidP="000777E3">
      <w:pPr>
        <w:ind w:left="1418"/>
        <w:jc w:val="both"/>
        <w:rPr>
          <w:rFonts w:ascii="Arial" w:hAnsi="Arial"/>
          <w:sz w:val="22"/>
        </w:rPr>
      </w:pPr>
    </w:p>
    <w:p w:rsidR="000777E3" w:rsidRPr="00443A8D" w:rsidRDefault="000777E3" w:rsidP="000777E3">
      <w:pPr>
        <w:ind w:left="1418"/>
        <w:jc w:val="both"/>
        <w:rPr>
          <w:rFonts w:ascii="Arial" w:hAnsi="Arial"/>
          <w:b/>
          <w:sz w:val="22"/>
        </w:rPr>
      </w:pPr>
      <w:r>
        <w:rPr>
          <w:rFonts w:ascii="Arial" w:hAnsi="Arial"/>
          <w:sz w:val="22"/>
        </w:rPr>
        <w:t>Pour chacun des concerts prévus, la commune a la possibilité soit de contracter avec les artistes, et par conséquent de les rémunérer directement, soit de passer par un contrat ou une convention avec un producteur de spectacles, employeurs des artistes, dont le statut peut être associatif ou commercial. Elle peut également s’associer à de telles structures en passant des contrats de coproduction pour l’organisation d’une manifestation précise.</w:t>
      </w:r>
      <w:r w:rsidR="00443A8D">
        <w:rPr>
          <w:rFonts w:ascii="Arial" w:hAnsi="Arial"/>
          <w:b/>
          <w:sz w:val="22"/>
        </w:rPr>
        <w:t>"</w:t>
      </w:r>
    </w:p>
    <w:p w:rsidR="00443A8D" w:rsidRDefault="00443A8D" w:rsidP="000777E3">
      <w:pPr>
        <w:ind w:left="1418"/>
        <w:jc w:val="both"/>
        <w:rPr>
          <w:rFonts w:ascii="Arial" w:hAnsi="Arial"/>
          <w:sz w:val="22"/>
        </w:rPr>
      </w:pPr>
    </w:p>
    <w:p w:rsidR="00443A8D" w:rsidRDefault="00443A8D" w:rsidP="0015752D">
      <w:pPr>
        <w:ind w:left="1418"/>
        <w:jc w:val="both"/>
        <w:rPr>
          <w:rFonts w:ascii="Arial" w:hAnsi="Arial"/>
          <w:sz w:val="22"/>
          <w:szCs w:val="22"/>
        </w:rPr>
      </w:pPr>
      <w:r>
        <w:rPr>
          <w:rFonts w:ascii="Arial" w:hAnsi="Arial"/>
          <w:sz w:val="22"/>
          <w:szCs w:val="22"/>
        </w:rPr>
        <w:t>Vu le Code général des collectivités territoriales ;</w:t>
      </w:r>
    </w:p>
    <w:p w:rsidR="00443A8D" w:rsidRPr="00421142" w:rsidRDefault="00443A8D" w:rsidP="0015752D">
      <w:pPr>
        <w:ind w:left="1418"/>
        <w:jc w:val="both"/>
        <w:rPr>
          <w:rFonts w:ascii="Arial" w:hAnsi="Arial"/>
          <w:sz w:val="12"/>
          <w:szCs w:val="12"/>
        </w:rPr>
      </w:pPr>
    </w:p>
    <w:p w:rsidR="00443A8D" w:rsidRDefault="00443A8D" w:rsidP="0015752D">
      <w:pPr>
        <w:ind w:left="1418"/>
        <w:jc w:val="both"/>
        <w:rPr>
          <w:rFonts w:ascii="Arial" w:hAnsi="Arial"/>
          <w:sz w:val="22"/>
          <w:szCs w:val="22"/>
        </w:rPr>
      </w:pPr>
      <w:r>
        <w:rPr>
          <w:rFonts w:ascii="Arial" w:hAnsi="Arial"/>
          <w:sz w:val="22"/>
          <w:szCs w:val="22"/>
        </w:rPr>
        <w:t>Après en avoir délibéré, le conseil municipal, à l'unanimité :</w:t>
      </w:r>
    </w:p>
    <w:p w:rsidR="00EE5D87" w:rsidRDefault="00443A8D" w:rsidP="00EE5D87">
      <w:pPr>
        <w:numPr>
          <w:ilvl w:val="0"/>
          <w:numId w:val="2"/>
        </w:numPr>
        <w:tabs>
          <w:tab w:val="left" w:pos="1701"/>
        </w:tabs>
        <w:spacing w:before="120"/>
        <w:ind w:left="1701" w:hanging="284"/>
        <w:jc w:val="both"/>
        <w:rPr>
          <w:rFonts w:ascii="Arial" w:hAnsi="Arial"/>
          <w:sz w:val="22"/>
        </w:rPr>
      </w:pPr>
      <w:r>
        <w:rPr>
          <w:rFonts w:ascii="Arial" w:hAnsi="Arial"/>
          <w:sz w:val="22"/>
        </w:rPr>
        <w:t>autorise</w:t>
      </w:r>
      <w:r w:rsidR="00EE5D87">
        <w:rPr>
          <w:rFonts w:ascii="Arial" w:hAnsi="Arial"/>
          <w:sz w:val="22"/>
        </w:rPr>
        <w:t xml:space="preserve"> le maire à signer les contrats et conventions à intervenir en vue de l’organisation de ces spectacles, tels que récapitulés dans le tableau suivant :</w:t>
      </w:r>
    </w:p>
    <w:p w:rsidR="00EE5D87" w:rsidRDefault="00EE5D87" w:rsidP="000777E3">
      <w:pPr>
        <w:ind w:left="1418"/>
        <w:jc w:val="both"/>
        <w:rPr>
          <w:rFonts w:ascii="Arial" w:hAnsi="Arial"/>
          <w:sz w:val="22"/>
        </w:rPr>
      </w:pPr>
    </w:p>
    <w:tbl>
      <w:tblPr>
        <w:tblW w:w="935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887"/>
        <w:gridCol w:w="2924"/>
        <w:gridCol w:w="2127"/>
      </w:tblGrid>
      <w:tr w:rsidR="000777E3" w:rsidRPr="00586B0A" w:rsidTr="00586B0A">
        <w:tc>
          <w:tcPr>
            <w:tcW w:w="1418" w:type="dxa"/>
          </w:tcPr>
          <w:p w:rsidR="000777E3" w:rsidRPr="00586B0A" w:rsidRDefault="000777E3" w:rsidP="000777E3">
            <w:pPr>
              <w:spacing w:before="60" w:after="60"/>
              <w:ind w:left="27"/>
              <w:jc w:val="center"/>
              <w:rPr>
                <w:rFonts w:ascii="Arial" w:hAnsi="Arial"/>
                <w:b/>
                <w:bCs/>
                <w:sz w:val="18"/>
                <w:szCs w:val="18"/>
              </w:rPr>
            </w:pPr>
            <w:r w:rsidRPr="00586B0A">
              <w:rPr>
                <w:rFonts w:ascii="Arial" w:hAnsi="Arial"/>
                <w:b/>
                <w:bCs/>
                <w:sz w:val="18"/>
                <w:szCs w:val="18"/>
              </w:rPr>
              <w:t>Dates</w:t>
            </w:r>
          </w:p>
        </w:tc>
        <w:tc>
          <w:tcPr>
            <w:tcW w:w="2887" w:type="dxa"/>
          </w:tcPr>
          <w:p w:rsidR="000777E3" w:rsidRPr="00586B0A" w:rsidRDefault="000777E3" w:rsidP="00E73C0E">
            <w:pPr>
              <w:spacing w:before="60" w:after="60"/>
              <w:ind w:left="34"/>
              <w:jc w:val="center"/>
              <w:rPr>
                <w:rFonts w:ascii="Arial" w:hAnsi="Arial"/>
                <w:b/>
                <w:bCs/>
                <w:sz w:val="18"/>
                <w:szCs w:val="18"/>
              </w:rPr>
            </w:pPr>
            <w:r w:rsidRPr="00586B0A">
              <w:rPr>
                <w:rFonts w:ascii="Arial" w:hAnsi="Arial"/>
                <w:b/>
                <w:bCs/>
                <w:sz w:val="18"/>
                <w:szCs w:val="18"/>
              </w:rPr>
              <w:t>Spectacles</w:t>
            </w:r>
          </w:p>
        </w:tc>
        <w:tc>
          <w:tcPr>
            <w:tcW w:w="2924" w:type="dxa"/>
          </w:tcPr>
          <w:p w:rsidR="000777E3" w:rsidRPr="00586B0A" w:rsidRDefault="000777E3" w:rsidP="00E73C0E">
            <w:pPr>
              <w:spacing w:before="60" w:after="60"/>
              <w:ind w:left="33" w:hanging="33"/>
              <w:jc w:val="center"/>
              <w:rPr>
                <w:rFonts w:ascii="Arial" w:hAnsi="Arial"/>
                <w:b/>
                <w:bCs/>
                <w:sz w:val="18"/>
                <w:szCs w:val="18"/>
              </w:rPr>
            </w:pPr>
            <w:r w:rsidRPr="00586B0A">
              <w:rPr>
                <w:rFonts w:ascii="Arial" w:hAnsi="Arial"/>
                <w:b/>
                <w:bCs/>
                <w:sz w:val="18"/>
                <w:szCs w:val="18"/>
              </w:rPr>
              <w:t>Parties cocontractantes</w:t>
            </w:r>
          </w:p>
        </w:tc>
        <w:tc>
          <w:tcPr>
            <w:tcW w:w="2127" w:type="dxa"/>
            <w:vAlign w:val="center"/>
          </w:tcPr>
          <w:p w:rsidR="000777E3" w:rsidRPr="00586B0A" w:rsidRDefault="000777E3" w:rsidP="000777E3">
            <w:pPr>
              <w:spacing w:before="60" w:after="60"/>
              <w:jc w:val="center"/>
              <w:rPr>
                <w:rFonts w:ascii="Arial" w:hAnsi="Arial"/>
                <w:b/>
                <w:bCs/>
                <w:sz w:val="18"/>
                <w:szCs w:val="18"/>
              </w:rPr>
            </w:pPr>
            <w:r w:rsidRPr="00586B0A">
              <w:rPr>
                <w:rFonts w:ascii="Arial" w:hAnsi="Arial"/>
                <w:b/>
                <w:bCs/>
                <w:sz w:val="18"/>
                <w:szCs w:val="18"/>
              </w:rPr>
              <w:t>Coût prévisionnel</w:t>
            </w:r>
            <w:r w:rsidR="00586B0A" w:rsidRPr="00586B0A">
              <w:rPr>
                <w:rFonts w:ascii="Arial" w:hAnsi="Arial"/>
                <w:b/>
                <w:bCs/>
                <w:sz w:val="18"/>
                <w:szCs w:val="18"/>
              </w:rPr>
              <w:t xml:space="preserve"> HT</w:t>
            </w:r>
            <w:r w:rsidRPr="00586B0A">
              <w:rPr>
                <w:rFonts w:ascii="Arial" w:hAnsi="Arial"/>
                <w:b/>
                <w:bCs/>
                <w:sz w:val="18"/>
                <w:szCs w:val="18"/>
              </w:rPr>
              <w:t>*</w:t>
            </w:r>
          </w:p>
        </w:tc>
      </w:tr>
      <w:tr w:rsidR="000777E3" w:rsidRPr="00947937" w:rsidTr="00586B0A">
        <w:trPr>
          <w:trHeight w:val="479"/>
        </w:trPr>
        <w:tc>
          <w:tcPr>
            <w:tcW w:w="1418" w:type="dxa"/>
            <w:vAlign w:val="center"/>
          </w:tcPr>
          <w:p w:rsidR="000777E3" w:rsidRPr="00E92599" w:rsidRDefault="000777E3" w:rsidP="000777E3">
            <w:pPr>
              <w:spacing w:before="60" w:after="60"/>
              <w:ind w:left="27"/>
              <w:rPr>
                <w:rFonts w:ascii="Arial" w:hAnsi="Arial"/>
              </w:rPr>
            </w:pPr>
            <w:r w:rsidRPr="00E92599">
              <w:rPr>
                <w:rFonts w:ascii="Arial" w:hAnsi="Arial"/>
              </w:rPr>
              <w:t>11 octobre</w:t>
            </w:r>
          </w:p>
        </w:tc>
        <w:tc>
          <w:tcPr>
            <w:tcW w:w="2887" w:type="dxa"/>
            <w:vAlign w:val="center"/>
          </w:tcPr>
          <w:p w:rsidR="000777E3" w:rsidRPr="000777E3" w:rsidRDefault="000777E3" w:rsidP="00E73C0E">
            <w:pPr>
              <w:rPr>
                <w:rFonts w:ascii="Arial" w:hAnsi="Arial"/>
                <w:bCs/>
                <w:lang w:val="en-US"/>
              </w:rPr>
            </w:pPr>
            <w:r w:rsidRPr="000777E3">
              <w:rPr>
                <w:rFonts w:ascii="Arial" w:hAnsi="Arial"/>
                <w:bCs/>
                <w:lang w:val="en-US"/>
              </w:rPr>
              <w:t>Harrison Stafford &amp; The Professor Crew</w:t>
            </w:r>
          </w:p>
          <w:p w:rsidR="000777E3" w:rsidRPr="000777E3" w:rsidRDefault="000777E3" w:rsidP="00E73C0E">
            <w:pPr>
              <w:rPr>
                <w:rFonts w:ascii="Arial" w:hAnsi="Arial"/>
                <w:bCs/>
                <w:lang w:val="en-US"/>
              </w:rPr>
            </w:pPr>
            <w:r w:rsidRPr="000777E3">
              <w:rPr>
                <w:rFonts w:ascii="Arial" w:hAnsi="Arial"/>
                <w:bCs/>
                <w:lang w:val="en-US"/>
              </w:rPr>
              <w:t>Takana zion (première partie)</w:t>
            </w:r>
          </w:p>
        </w:tc>
        <w:tc>
          <w:tcPr>
            <w:tcW w:w="2924" w:type="dxa"/>
            <w:shd w:val="clear" w:color="auto" w:fill="auto"/>
            <w:vAlign w:val="center"/>
          </w:tcPr>
          <w:p w:rsidR="000777E3" w:rsidRPr="00E92599" w:rsidRDefault="000777E3" w:rsidP="00E73C0E">
            <w:pPr>
              <w:rPr>
                <w:rFonts w:ascii="Arial" w:hAnsi="Arial"/>
              </w:rPr>
            </w:pPr>
            <w:r w:rsidRPr="00E92599">
              <w:t>M’A Prod</w:t>
            </w:r>
          </w:p>
        </w:tc>
        <w:tc>
          <w:tcPr>
            <w:tcW w:w="2127" w:type="dxa"/>
            <w:vAlign w:val="center"/>
          </w:tcPr>
          <w:p w:rsidR="000777E3" w:rsidRPr="00E92599" w:rsidRDefault="000777E3" w:rsidP="00E73C0E">
            <w:pPr>
              <w:spacing w:before="60" w:after="60"/>
              <w:jc w:val="center"/>
              <w:rPr>
                <w:rFonts w:ascii="Arial" w:hAnsi="Arial"/>
              </w:rPr>
            </w:pPr>
            <w:r w:rsidRPr="00E92599">
              <w:rPr>
                <w:rFonts w:ascii="Arial" w:hAnsi="Arial"/>
              </w:rPr>
              <w:t>4 500 €</w:t>
            </w:r>
          </w:p>
        </w:tc>
      </w:tr>
      <w:tr w:rsidR="000777E3" w:rsidRPr="00947937" w:rsidTr="00586B0A">
        <w:trPr>
          <w:trHeight w:val="429"/>
        </w:trPr>
        <w:tc>
          <w:tcPr>
            <w:tcW w:w="1418" w:type="dxa"/>
            <w:shd w:val="clear" w:color="auto" w:fill="auto"/>
            <w:vAlign w:val="center"/>
          </w:tcPr>
          <w:p w:rsidR="000777E3" w:rsidRPr="00E92599" w:rsidRDefault="000777E3" w:rsidP="000777E3">
            <w:pPr>
              <w:pStyle w:val="Paragraphedeliste"/>
              <w:spacing w:before="60" w:after="60"/>
              <w:ind w:left="27"/>
              <w:rPr>
                <w:rFonts w:ascii="Arial" w:hAnsi="Arial"/>
                <w:sz w:val="20"/>
                <w:szCs w:val="20"/>
              </w:rPr>
            </w:pPr>
            <w:r>
              <w:rPr>
                <w:rFonts w:ascii="Arial" w:hAnsi="Arial"/>
                <w:sz w:val="20"/>
                <w:szCs w:val="20"/>
              </w:rPr>
              <w:t>18 o</w:t>
            </w:r>
            <w:r w:rsidRPr="00E92599">
              <w:rPr>
                <w:rFonts w:ascii="Arial" w:hAnsi="Arial"/>
                <w:sz w:val="20"/>
                <w:szCs w:val="20"/>
              </w:rPr>
              <w:t>ctobre</w:t>
            </w:r>
          </w:p>
        </w:tc>
        <w:tc>
          <w:tcPr>
            <w:tcW w:w="2887" w:type="dxa"/>
            <w:shd w:val="clear" w:color="auto" w:fill="auto"/>
            <w:vAlign w:val="center"/>
          </w:tcPr>
          <w:p w:rsidR="000777E3" w:rsidRPr="000777E3" w:rsidRDefault="000777E3" w:rsidP="00E73C0E">
            <w:pPr>
              <w:ind w:left="27"/>
              <w:rPr>
                <w:rFonts w:ascii="Arial" w:hAnsi="Arial"/>
                <w:bCs/>
                <w:lang w:val="en-US"/>
              </w:rPr>
            </w:pPr>
            <w:r w:rsidRPr="000777E3">
              <w:rPr>
                <w:bCs/>
              </w:rPr>
              <w:t>Jeanne Added</w:t>
            </w:r>
          </w:p>
        </w:tc>
        <w:tc>
          <w:tcPr>
            <w:tcW w:w="2924" w:type="dxa"/>
            <w:shd w:val="clear" w:color="auto" w:fill="auto"/>
            <w:vAlign w:val="center"/>
          </w:tcPr>
          <w:p w:rsidR="000777E3" w:rsidRPr="00E92599" w:rsidRDefault="000777E3" w:rsidP="00E73C0E">
            <w:pPr>
              <w:rPr>
                <w:rFonts w:ascii="Arial" w:hAnsi="Arial"/>
              </w:rPr>
            </w:pPr>
            <w:r w:rsidRPr="00E92599">
              <w:t>Wart</w:t>
            </w:r>
          </w:p>
        </w:tc>
        <w:tc>
          <w:tcPr>
            <w:tcW w:w="2127" w:type="dxa"/>
            <w:shd w:val="clear" w:color="auto" w:fill="auto"/>
            <w:vAlign w:val="center"/>
          </w:tcPr>
          <w:p w:rsidR="000777E3" w:rsidRPr="00E92599" w:rsidRDefault="000777E3" w:rsidP="00E73C0E">
            <w:pPr>
              <w:spacing w:before="60" w:after="60"/>
              <w:jc w:val="center"/>
              <w:rPr>
                <w:rFonts w:ascii="Arial" w:hAnsi="Arial"/>
              </w:rPr>
            </w:pPr>
            <w:r w:rsidRPr="00E92599">
              <w:rPr>
                <w:rFonts w:ascii="Arial" w:hAnsi="Arial"/>
              </w:rPr>
              <w:t>7 500 €</w:t>
            </w:r>
          </w:p>
        </w:tc>
      </w:tr>
      <w:tr w:rsidR="000777E3" w:rsidRPr="00947937" w:rsidTr="00586B0A">
        <w:trPr>
          <w:trHeight w:val="567"/>
        </w:trPr>
        <w:tc>
          <w:tcPr>
            <w:tcW w:w="1418" w:type="dxa"/>
            <w:shd w:val="clear" w:color="auto" w:fill="auto"/>
            <w:vAlign w:val="center"/>
          </w:tcPr>
          <w:p w:rsidR="000777E3" w:rsidRPr="00E92599" w:rsidRDefault="000777E3" w:rsidP="000777E3">
            <w:pPr>
              <w:spacing w:before="60" w:after="60"/>
              <w:ind w:left="27"/>
              <w:rPr>
                <w:rFonts w:ascii="Arial" w:hAnsi="Arial"/>
              </w:rPr>
            </w:pPr>
            <w:r w:rsidRPr="00E92599">
              <w:rPr>
                <w:rFonts w:ascii="Arial" w:hAnsi="Arial"/>
              </w:rPr>
              <w:t>25 octobre</w:t>
            </w:r>
          </w:p>
        </w:tc>
        <w:tc>
          <w:tcPr>
            <w:tcW w:w="2887" w:type="dxa"/>
            <w:shd w:val="clear" w:color="auto" w:fill="auto"/>
            <w:vAlign w:val="center"/>
          </w:tcPr>
          <w:p w:rsidR="000777E3" w:rsidRPr="000777E3" w:rsidRDefault="000777E3" w:rsidP="00E73C0E">
            <w:pPr>
              <w:spacing w:before="60" w:after="60"/>
              <w:rPr>
                <w:bCs/>
              </w:rPr>
            </w:pPr>
            <w:r w:rsidRPr="000777E3">
              <w:rPr>
                <w:bCs/>
              </w:rPr>
              <w:t>Las Aves</w:t>
            </w:r>
          </w:p>
          <w:p w:rsidR="000777E3" w:rsidRPr="000777E3" w:rsidRDefault="000777E3" w:rsidP="00E73C0E">
            <w:pPr>
              <w:rPr>
                <w:rFonts w:ascii="Arial" w:hAnsi="Arial"/>
              </w:rPr>
            </w:pPr>
            <w:r w:rsidRPr="000777E3">
              <w:rPr>
                <w:bCs/>
              </w:rPr>
              <w:t>Holy Two</w:t>
            </w:r>
          </w:p>
        </w:tc>
        <w:tc>
          <w:tcPr>
            <w:tcW w:w="2924" w:type="dxa"/>
            <w:shd w:val="clear" w:color="auto" w:fill="auto"/>
            <w:vAlign w:val="center"/>
          </w:tcPr>
          <w:p w:rsidR="000777E3" w:rsidRPr="00E92599" w:rsidRDefault="000777E3" w:rsidP="00E73C0E">
            <w:pPr>
              <w:rPr>
                <w:lang w:val="en-US"/>
              </w:rPr>
            </w:pPr>
            <w:r w:rsidRPr="00E92599">
              <w:rPr>
                <w:lang w:val="en-US"/>
              </w:rPr>
              <w:t>Uni T</w:t>
            </w:r>
          </w:p>
          <w:p w:rsidR="000777E3" w:rsidRPr="00E92599" w:rsidRDefault="000777E3" w:rsidP="00E73C0E">
            <w:pPr>
              <w:rPr>
                <w:rFonts w:ascii="Arial" w:hAnsi="Arial"/>
                <w:lang w:val="en-US"/>
              </w:rPr>
            </w:pPr>
            <w:r w:rsidRPr="00E92599">
              <w:rPr>
                <w:lang w:val="en-US"/>
              </w:rPr>
              <w:t>Cold Fame Booking</w:t>
            </w:r>
          </w:p>
        </w:tc>
        <w:tc>
          <w:tcPr>
            <w:tcW w:w="2127" w:type="dxa"/>
            <w:shd w:val="clear" w:color="auto" w:fill="auto"/>
            <w:vAlign w:val="center"/>
          </w:tcPr>
          <w:p w:rsidR="000777E3" w:rsidRPr="00E92599" w:rsidRDefault="000777E3" w:rsidP="00E73C0E">
            <w:pPr>
              <w:spacing w:before="60" w:after="60"/>
              <w:jc w:val="center"/>
              <w:rPr>
                <w:rFonts w:ascii="Arial" w:hAnsi="Arial"/>
              </w:rPr>
            </w:pPr>
            <w:r w:rsidRPr="00E92599">
              <w:rPr>
                <w:rFonts w:ascii="Arial" w:hAnsi="Arial"/>
              </w:rPr>
              <w:t>2 000€</w:t>
            </w:r>
          </w:p>
          <w:p w:rsidR="000777E3" w:rsidRPr="00E92599" w:rsidRDefault="000777E3" w:rsidP="00E73C0E">
            <w:pPr>
              <w:spacing w:before="60" w:after="60"/>
              <w:jc w:val="center"/>
              <w:rPr>
                <w:rFonts w:ascii="Arial" w:hAnsi="Arial"/>
              </w:rPr>
            </w:pPr>
            <w:r w:rsidRPr="00E92599">
              <w:rPr>
                <w:rFonts w:ascii="Arial" w:hAnsi="Arial"/>
              </w:rPr>
              <w:t>800 €</w:t>
            </w:r>
          </w:p>
        </w:tc>
      </w:tr>
      <w:tr w:rsidR="000777E3" w:rsidRPr="00947937" w:rsidTr="00586B0A">
        <w:trPr>
          <w:trHeight w:val="528"/>
        </w:trPr>
        <w:tc>
          <w:tcPr>
            <w:tcW w:w="1418" w:type="dxa"/>
            <w:shd w:val="clear" w:color="auto" w:fill="auto"/>
            <w:vAlign w:val="center"/>
          </w:tcPr>
          <w:p w:rsidR="000777E3" w:rsidRPr="00E92599" w:rsidRDefault="000777E3" w:rsidP="000777E3">
            <w:pPr>
              <w:ind w:left="27"/>
              <w:rPr>
                <w:rFonts w:ascii="Arial" w:hAnsi="Arial"/>
              </w:rPr>
            </w:pPr>
            <w:r w:rsidRPr="00E92599">
              <w:rPr>
                <w:rFonts w:ascii="Arial" w:hAnsi="Arial"/>
              </w:rPr>
              <w:t>Mardi 8 novembre</w:t>
            </w:r>
          </w:p>
        </w:tc>
        <w:tc>
          <w:tcPr>
            <w:tcW w:w="2887" w:type="dxa"/>
            <w:shd w:val="clear" w:color="auto" w:fill="auto"/>
            <w:vAlign w:val="center"/>
          </w:tcPr>
          <w:p w:rsidR="000777E3" w:rsidRPr="00EE5D87" w:rsidRDefault="000777E3" w:rsidP="00E73C0E">
            <w:pPr>
              <w:rPr>
                <w:bCs/>
                <w:lang w:val="en-US"/>
              </w:rPr>
            </w:pPr>
            <w:r w:rsidRPr="00EE5D87">
              <w:rPr>
                <w:bCs/>
                <w:lang w:val="en-US"/>
              </w:rPr>
              <w:t>The Glossy sister</w:t>
            </w:r>
          </w:p>
          <w:p w:rsidR="000777E3" w:rsidRPr="00EE5D87" w:rsidRDefault="000777E3" w:rsidP="00E73C0E">
            <w:pPr>
              <w:rPr>
                <w:rFonts w:ascii="Arial" w:hAnsi="Arial"/>
                <w:bCs/>
                <w:lang w:val="en-US"/>
              </w:rPr>
            </w:pPr>
            <w:proofErr w:type="spellStart"/>
            <w:r w:rsidRPr="00EE5D87">
              <w:rPr>
                <w:bCs/>
                <w:lang w:val="en-US"/>
              </w:rPr>
              <w:t>Théo</w:t>
            </w:r>
            <w:proofErr w:type="spellEnd"/>
            <w:r w:rsidRPr="00EE5D87">
              <w:rPr>
                <w:bCs/>
                <w:lang w:val="en-US"/>
              </w:rPr>
              <w:t xml:space="preserve"> Lawrence</w:t>
            </w:r>
          </w:p>
        </w:tc>
        <w:tc>
          <w:tcPr>
            <w:tcW w:w="2924" w:type="dxa"/>
            <w:shd w:val="clear" w:color="auto" w:fill="auto"/>
            <w:vAlign w:val="center"/>
          </w:tcPr>
          <w:p w:rsidR="000777E3" w:rsidRPr="00E92599" w:rsidRDefault="000777E3" w:rsidP="00E73C0E">
            <w:proofErr w:type="spellStart"/>
            <w:r w:rsidRPr="00E92599">
              <w:t>Némomusic</w:t>
            </w:r>
            <w:proofErr w:type="spellEnd"/>
          </w:p>
          <w:p w:rsidR="000777E3" w:rsidRPr="00E92599" w:rsidRDefault="000777E3" w:rsidP="00E73C0E">
            <w:pPr>
              <w:rPr>
                <w:rFonts w:ascii="Arial" w:hAnsi="Arial"/>
              </w:rPr>
            </w:pPr>
            <w:r w:rsidRPr="00E92599">
              <w:t>Caramba</w:t>
            </w:r>
          </w:p>
        </w:tc>
        <w:tc>
          <w:tcPr>
            <w:tcW w:w="2127" w:type="dxa"/>
            <w:shd w:val="clear" w:color="auto" w:fill="auto"/>
            <w:vAlign w:val="center"/>
          </w:tcPr>
          <w:p w:rsidR="000777E3" w:rsidRPr="00E92599" w:rsidRDefault="000777E3" w:rsidP="00E73C0E">
            <w:pPr>
              <w:spacing w:before="60" w:after="60"/>
              <w:jc w:val="center"/>
              <w:rPr>
                <w:rFonts w:ascii="Arial" w:hAnsi="Arial"/>
              </w:rPr>
            </w:pPr>
            <w:r w:rsidRPr="00E92599">
              <w:rPr>
                <w:rFonts w:ascii="Arial" w:hAnsi="Arial"/>
              </w:rPr>
              <w:t>1 800 €</w:t>
            </w:r>
          </w:p>
          <w:p w:rsidR="000777E3" w:rsidRPr="00E92599" w:rsidRDefault="000777E3" w:rsidP="00E73C0E">
            <w:pPr>
              <w:spacing w:before="60" w:after="60"/>
              <w:jc w:val="center"/>
              <w:rPr>
                <w:rFonts w:ascii="Arial" w:hAnsi="Arial"/>
              </w:rPr>
            </w:pPr>
            <w:r w:rsidRPr="00E92599">
              <w:rPr>
                <w:rFonts w:ascii="Arial" w:hAnsi="Arial"/>
              </w:rPr>
              <w:t>1 500 €</w:t>
            </w:r>
          </w:p>
        </w:tc>
      </w:tr>
      <w:tr w:rsidR="000777E3" w:rsidRPr="00947937" w:rsidTr="00586B0A">
        <w:trPr>
          <w:trHeight w:val="528"/>
        </w:trPr>
        <w:tc>
          <w:tcPr>
            <w:tcW w:w="1418" w:type="dxa"/>
            <w:shd w:val="clear" w:color="auto" w:fill="auto"/>
            <w:vAlign w:val="center"/>
          </w:tcPr>
          <w:p w:rsidR="000777E3" w:rsidRPr="00E92599" w:rsidRDefault="000777E3" w:rsidP="000777E3">
            <w:pPr>
              <w:ind w:left="27"/>
              <w:rPr>
                <w:rFonts w:ascii="Arial" w:hAnsi="Arial"/>
              </w:rPr>
            </w:pPr>
            <w:r w:rsidRPr="00E92599">
              <w:t>Mardi 22 novembre</w:t>
            </w:r>
          </w:p>
        </w:tc>
        <w:tc>
          <w:tcPr>
            <w:tcW w:w="2887" w:type="dxa"/>
            <w:shd w:val="clear" w:color="auto" w:fill="auto"/>
            <w:vAlign w:val="center"/>
          </w:tcPr>
          <w:p w:rsidR="000777E3" w:rsidRPr="000777E3" w:rsidRDefault="000777E3" w:rsidP="00E73C0E">
            <w:pPr>
              <w:spacing w:before="60" w:after="60"/>
              <w:ind w:left="34"/>
              <w:rPr>
                <w:rFonts w:ascii="Arial" w:hAnsi="Arial"/>
                <w:bCs/>
              </w:rPr>
            </w:pPr>
            <w:r w:rsidRPr="000777E3">
              <w:rPr>
                <w:rFonts w:ascii="Arial" w:hAnsi="Arial"/>
                <w:bCs/>
              </w:rPr>
              <w:t>Giédré</w:t>
            </w:r>
          </w:p>
          <w:p w:rsidR="000777E3" w:rsidRPr="000777E3" w:rsidRDefault="000777E3" w:rsidP="00E73C0E">
            <w:pPr>
              <w:rPr>
                <w:rFonts w:ascii="Arial" w:hAnsi="Arial"/>
                <w:bCs/>
              </w:rPr>
            </w:pPr>
            <w:r w:rsidRPr="000777E3">
              <w:rPr>
                <w:bCs/>
              </w:rPr>
              <w:t>Odezenne</w:t>
            </w:r>
          </w:p>
        </w:tc>
        <w:tc>
          <w:tcPr>
            <w:tcW w:w="2924" w:type="dxa"/>
            <w:shd w:val="clear" w:color="auto" w:fill="auto"/>
            <w:vAlign w:val="center"/>
          </w:tcPr>
          <w:p w:rsidR="000777E3" w:rsidRPr="00E92599" w:rsidRDefault="000777E3" w:rsidP="00E73C0E">
            <w:pPr>
              <w:spacing w:before="60" w:after="60"/>
              <w:ind w:left="33" w:hanging="33"/>
              <w:rPr>
                <w:rFonts w:ascii="Arial" w:hAnsi="Arial"/>
              </w:rPr>
            </w:pPr>
            <w:r w:rsidRPr="00E92599">
              <w:rPr>
                <w:rFonts w:ascii="Arial" w:hAnsi="Arial"/>
              </w:rPr>
              <w:t>Bleu Citron</w:t>
            </w:r>
          </w:p>
          <w:p w:rsidR="000777E3" w:rsidRPr="00E92599" w:rsidRDefault="000777E3" w:rsidP="00E73C0E">
            <w:pPr>
              <w:spacing w:before="60" w:after="60"/>
              <w:ind w:left="33" w:hanging="33"/>
              <w:rPr>
                <w:rFonts w:ascii="Arial" w:hAnsi="Arial"/>
              </w:rPr>
            </w:pPr>
            <w:r w:rsidRPr="00E92599">
              <w:rPr>
                <w:rFonts w:ascii="Arial" w:hAnsi="Arial"/>
              </w:rPr>
              <w:t>Base Production</w:t>
            </w:r>
          </w:p>
        </w:tc>
        <w:tc>
          <w:tcPr>
            <w:tcW w:w="2127" w:type="dxa"/>
            <w:shd w:val="clear" w:color="auto" w:fill="auto"/>
            <w:vAlign w:val="center"/>
          </w:tcPr>
          <w:p w:rsidR="000777E3" w:rsidRPr="00E92599" w:rsidRDefault="000777E3" w:rsidP="00E73C0E">
            <w:pPr>
              <w:spacing w:before="60" w:after="60"/>
              <w:jc w:val="center"/>
              <w:rPr>
                <w:rFonts w:ascii="Arial" w:hAnsi="Arial"/>
              </w:rPr>
            </w:pPr>
            <w:r w:rsidRPr="00E92599">
              <w:rPr>
                <w:rFonts w:ascii="Arial" w:hAnsi="Arial"/>
              </w:rPr>
              <w:t>3 000 €</w:t>
            </w:r>
          </w:p>
          <w:p w:rsidR="000777E3" w:rsidRPr="00E92599" w:rsidRDefault="000777E3" w:rsidP="00E73C0E">
            <w:pPr>
              <w:spacing w:before="60" w:after="60"/>
              <w:jc w:val="center"/>
              <w:rPr>
                <w:rFonts w:ascii="Arial" w:hAnsi="Arial"/>
              </w:rPr>
            </w:pPr>
            <w:r w:rsidRPr="00E92599">
              <w:rPr>
                <w:rFonts w:ascii="Arial" w:hAnsi="Arial"/>
              </w:rPr>
              <w:t>4 500 €</w:t>
            </w:r>
          </w:p>
        </w:tc>
      </w:tr>
    </w:tbl>
    <w:p w:rsidR="00443A8D" w:rsidRDefault="00443A8D"/>
    <w:p w:rsidR="00443A8D" w:rsidRDefault="00443A8D"/>
    <w:p w:rsidR="00443A8D" w:rsidRDefault="00443A8D"/>
    <w:p w:rsidR="00443A8D" w:rsidRDefault="00443A8D"/>
    <w:p w:rsidR="00443A8D" w:rsidRDefault="00443A8D"/>
    <w:p w:rsidR="00443A8D" w:rsidRDefault="00443A8D"/>
    <w:p w:rsidR="00443A8D" w:rsidRDefault="00443A8D"/>
    <w:tbl>
      <w:tblPr>
        <w:tblW w:w="935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887"/>
        <w:gridCol w:w="2924"/>
        <w:gridCol w:w="2127"/>
      </w:tblGrid>
      <w:tr w:rsidR="000777E3" w:rsidRPr="00947937" w:rsidTr="00586B0A">
        <w:trPr>
          <w:trHeight w:val="528"/>
        </w:trPr>
        <w:tc>
          <w:tcPr>
            <w:tcW w:w="1418" w:type="dxa"/>
            <w:shd w:val="clear" w:color="auto" w:fill="auto"/>
            <w:vAlign w:val="center"/>
          </w:tcPr>
          <w:p w:rsidR="000777E3" w:rsidRPr="00E92599" w:rsidRDefault="000777E3" w:rsidP="000777E3">
            <w:pPr>
              <w:spacing w:before="60" w:after="60"/>
              <w:ind w:left="27"/>
              <w:rPr>
                <w:rFonts w:ascii="Arial" w:hAnsi="Arial"/>
              </w:rPr>
            </w:pPr>
            <w:r w:rsidRPr="00E92599">
              <w:rPr>
                <w:rFonts w:ascii="Arial" w:hAnsi="Arial"/>
              </w:rPr>
              <w:t>13 décembre</w:t>
            </w:r>
          </w:p>
        </w:tc>
        <w:tc>
          <w:tcPr>
            <w:tcW w:w="2887" w:type="dxa"/>
            <w:shd w:val="clear" w:color="auto" w:fill="auto"/>
            <w:vAlign w:val="center"/>
          </w:tcPr>
          <w:p w:rsidR="000777E3" w:rsidRPr="000777E3" w:rsidRDefault="000777E3" w:rsidP="00E73C0E">
            <w:pPr>
              <w:rPr>
                <w:rFonts w:ascii="Arial" w:hAnsi="Arial"/>
                <w:bCs/>
              </w:rPr>
            </w:pPr>
            <w:r w:rsidRPr="000777E3">
              <w:rPr>
                <w:bCs/>
              </w:rPr>
              <w:t>Mass Hysteria</w:t>
            </w:r>
          </w:p>
        </w:tc>
        <w:tc>
          <w:tcPr>
            <w:tcW w:w="2924" w:type="dxa"/>
            <w:shd w:val="clear" w:color="auto" w:fill="auto"/>
            <w:vAlign w:val="center"/>
          </w:tcPr>
          <w:p w:rsidR="000777E3" w:rsidRPr="00E92599" w:rsidRDefault="000777E3" w:rsidP="00E73C0E">
            <w:pPr>
              <w:spacing w:before="60" w:after="60"/>
              <w:rPr>
                <w:rFonts w:ascii="Arial" w:hAnsi="Arial"/>
              </w:rPr>
            </w:pPr>
            <w:r w:rsidRPr="00E92599">
              <w:rPr>
                <w:rFonts w:ascii="Arial" w:hAnsi="Arial"/>
              </w:rPr>
              <w:t>Base Production</w:t>
            </w:r>
          </w:p>
        </w:tc>
        <w:tc>
          <w:tcPr>
            <w:tcW w:w="2127" w:type="dxa"/>
            <w:shd w:val="clear" w:color="auto" w:fill="auto"/>
            <w:vAlign w:val="center"/>
          </w:tcPr>
          <w:p w:rsidR="000777E3" w:rsidRPr="00E92599" w:rsidRDefault="000777E3" w:rsidP="00E73C0E">
            <w:pPr>
              <w:spacing w:before="60" w:after="60"/>
              <w:jc w:val="center"/>
              <w:rPr>
                <w:rFonts w:ascii="Arial" w:hAnsi="Arial"/>
              </w:rPr>
            </w:pPr>
            <w:r w:rsidRPr="00E92599">
              <w:rPr>
                <w:rFonts w:ascii="Arial" w:hAnsi="Arial"/>
              </w:rPr>
              <w:t>6 000 €</w:t>
            </w:r>
          </w:p>
        </w:tc>
      </w:tr>
      <w:tr w:rsidR="000777E3" w:rsidRPr="00947937" w:rsidTr="00586B0A">
        <w:trPr>
          <w:trHeight w:val="528"/>
        </w:trPr>
        <w:tc>
          <w:tcPr>
            <w:tcW w:w="1418" w:type="dxa"/>
            <w:shd w:val="clear" w:color="auto" w:fill="auto"/>
            <w:vAlign w:val="center"/>
          </w:tcPr>
          <w:p w:rsidR="000777E3" w:rsidRPr="00E92599" w:rsidRDefault="000777E3" w:rsidP="00443A8D">
            <w:pPr>
              <w:spacing w:before="60" w:after="60"/>
              <w:ind w:left="27"/>
              <w:rPr>
                <w:rFonts w:ascii="Arial" w:hAnsi="Arial"/>
              </w:rPr>
            </w:pPr>
            <w:r w:rsidRPr="00E92599">
              <w:rPr>
                <w:rFonts w:ascii="Arial" w:hAnsi="Arial"/>
              </w:rPr>
              <w:t>2</w:t>
            </w:r>
            <w:r w:rsidR="00443A8D">
              <w:rPr>
                <w:rFonts w:ascii="Arial" w:hAnsi="Arial"/>
              </w:rPr>
              <w:t>0</w:t>
            </w:r>
            <w:r w:rsidRPr="00E92599">
              <w:rPr>
                <w:rFonts w:ascii="Arial" w:hAnsi="Arial"/>
              </w:rPr>
              <w:t xml:space="preserve"> décembre</w:t>
            </w:r>
          </w:p>
        </w:tc>
        <w:tc>
          <w:tcPr>
            <w:tcW w:w="2887" w:type="dxa"/>
            <w:shd w:val="clear" w:color="auto" w:fill="auto"/>
            <w:vAlign w:val="center"/>
          </w:tcPr>
          <w:p w:rsidR="000777E3" w:rsidRPr="000777E3" w:rsidRDefault="000777E3" w:rsidP="00E73C0E">
            <w:pPr>
              <w:rPr>
                <w:bCs/>
              </w:rPr>
            </w:pPr>
            <w:r w:rsidRPr="000777E3">
              <w:rPr>
                <w:bCs/>
              </w:rPr>
              <w:t>La Canaille</w:t>
            </w:r>
          </w:p>
        </w:tc>
        <w:tc>
          <w:tcPr>
            <w:tcW w:w="2924" w:type="dxa"/>
            <w:shd w:val="clear" w:color="auto" w:fill="auto"/>
            <w:vAlign w:val="center"/>
          </w:tcPr>
          <w:p w:rsidR="000777E3" w:rsidRDefault="000777E3" w:rsidP="00E73C0E">
            <w:pPr>
              <w:spacing w:before="60" w:after="60"/>
              <w:rPr>
                <w:rFonts w:ascii="Arial" w:hAnsi="Arial"/>
              </w:rPr>
            </w:pPr>
            <w:r w:rsidRPr="00E92599">
              <w:rPr>
                <w:rFonts w:ascii="Arial" w:hAnsi="Arial"/>
              </w:rPr>
              <w:t>Association La Canaille</w:t>
            </w:r>
          </w:p>
          <w:p w:rsidR="000777E3" w:rsidRPr="0080508B" w:rsidRDefault="000777E3" w:rsidP="00E73C0E">
            <w:r w:rsidRPr="0080508B">
              <w:t>Convention coréalisation avec Touilleurs Attitude Production et Le Zèbre étoilé</w:t>
            </w:r>
          </w:p>
        </w:tc>
        <w:tc>
          <w:tcPr>
            <w:tcW w:w="2127" w:type="dxa"/>
            <w:shd w:val="clear" w:color="auto" w:fill="auto"/>
            <w:vAlign w:val="center"/>
          </w:tcPr>
          <w:p w:rsidR="000777E3" w:rsidRPr="00E92599" w:rsidRDefault="000777E3" w:rsidP="00E73C0E">
            <w:pPr>
              <w:spacing w:before="60" w:after="60"/>
              <w:jc w:val="center"/>
              <w:rPr>
                <w:rFonts w:ascii="Arial" w:hAnsi="Arial"/>
              </w:rPr>
            </w:pPr>
            <w:r w:rsidRPr="00E92599">
              <w:rPr>
                <w:rFonts w:ascii="Arial" w:hAnsi="Arial"/>
              </w:rPr>
              <w:t>2 000€</w:t>
            </w:r>
          </w:p>
        </w:tc>
      </w:tr>
    </w:tbl>
    <w:p w:rsidR="00586B0A" w:rsidRDefault="000777E3" w:rsidP="00586B0A">
      <w:pPr>
        <w:ind w:left="1418"/>
        <w:jc w:val="both"/>
        <w:rPr>
          <w:rFonts w:ascii="Arial" w:hAnsi="Arial"/>
          <w:sz w:val="22"/>
        </w:rPr>
      </w:pPr>
      <w:r>
        <w:rPr>
          <w:rFonts w:ascii="Arial" w:hAnsi="Arial"/>
          <w:sz w:val="22"/>
        </w:rPr>
        <w:t xml:space="preserve">* </w:t>
      </w:r>
      <w:r w:rsidR="00586B0A">
        <w:rPr>
          <w:rFonts w:ascii="Arial" w:hAnsi="Arial"/>
          <w:sz w:val="22"/>
        </w:rPr>
        <w:t>Hors frais de route ou défraiements éventuels</w:t>
      </w:r>
    </w:p>
    <w:p w:rsidR="000777E3" w:rsidRDefault="000777E3" w:rsidP="00663A9D">
      <w:pPr>
        <w:ind w:left="1418"/>
        <w:jc w:val="both"/>
        <w:rPr>
          <w:rFonts w:ascii="Arial" w:hAnsi="Arial" w:cs="Arial"/>
          <w:sz w:val="22"/>
          <w:szCs w:val="22"/>
        </w:rPr>
      </w:pPr>
    </w:p>
    <w:p w:rsidR="00EE5D87" w:rsidRDefault="00EE5D87" w:rsidP="00663A9D">
      <w:pPr>
        <w:ind w:left="1418"/>
        <w:jc w:val="both"/>
        <w:rPr>
          <w:rFonts w:ascii="Arial" w:hAnsi="Arial" w:cs="Arial"/>
          <w:sz w:val="22"/>
          <w:szCs w:val="22"/>
        </w:rPr>
      </w:pPr>
      <w:r>
        <w:rPr>
          <w:rFonts w:ascii="Arial" w:hAnsi="Arial" w:cs="Arial"/>
          <w:sz w:val="22"/>
          <w:szCs w:val="22"/>
        </w:rPr>
        <w:t xml:space="preserve">2° </w:t>
      </w:r>
      <w:r w:rsidR="00443A8D">
        <w:rPr>
          <w:rFonts w:ascii="Arial" w:hAnsi="Arial" w:cs="Arial"/>
          <w:sz w:val="22"/>
          <w:szCs w:val="22"/>
        </w:rPr>
        <w:t>dit</w:t>
      </w:r>
      <w:r w:rsidRPr="00EE5D87">
        <w:rPr>
          <w:rFonts w:ascii="Arial" w:hAnsi="Arial" w:cs="Arial"/>
          <w:sz w:val="22"/>
          <w:szCs w:val="22"/>
        </w:rPr>
        <w:t xml:space="preserve"> que la dépense en résultant sera prélevée sur les crédits ouverts au budget</w:t>
      </w:r>
      <w:r>
        <w:rPr>
          <w:rFonts w:ascii="Arial" w:hAnsi="Arial" w:cs="Arial"/>
          <w:sz w:val="22"/>
          <w:szCs w:val="22"/>
        </w:rPr>
        <w:t>.</w:t>
      </w:r>
    </w:p>
    <w:p w:rsidR="00EE5D87" w:rsidRDefault="00EE5D87" w:rsidP="00663A9D">
      <w:pPr>
        <w:ind w:left="1418"/>
        <w:jc w:val="both"/>
        <w:rPr>
          <w:rFonts w:ascii="Arial" w:hAnsi="Arial" w:cs="Arial"/>
          <w:sz w:val="22"/>
          <w:szCs w:val="22"/>
        </w:rPr>
      </w:pPr>
    </w:p>
    <w:p w:rsidR="00EE5D87" w:rsidRDefault="00EE5D87" w:rsidP="00663A9D">
      <w:pPr>
        <w:ind w:left="1418"/>
        <w:jc w:val="both"/>
        <w:rPr>
          <w:rFonts w:ascii="Arial" w:hAnsi="Arial" w:cs="Arial"/>
          <w:sz w:val="22"/>
          <w:szCs w:val="22"/>
        </w:rPr>
      </w:pPr>
    </w:p>
    <w:p w:rsidR="00443A8D" w:rsidRDefault="00443A8D" w:rsidP="00663A9D">
      <w:pPr>
        <w:ind w:left="1418"/>
        <w:jc w:val="both"/>
        <w:rPr>
          <w:rFonts w:ascii="Arial" w:hAnsi="Arial" w:cs="Arial"/>
          <w:sz w:val="22"/>
          <w:szCs w:val="22"/>
        </w:rPr>
      </w:pPr>
    </w:p>
    <w:sectPr w:rsidR="00443A8D" w:rsidSect="00443A8D">
      <w:headerReference w:type="even" r:id="rId8"/>
      <w:headerReference w:type="default" r:id="rId9"/>
      <w:footerReference w:type="first" r:id="rId10"/>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21" w:rsidRDefault="00C70E21">
      <w:r>
        <w:separator/>
      </w:r>
    </w:p>
  </w:endnote>
  <w:endnote w:type="continuationSeparator" w:id="0">
    <w:p w:rsidR="00C70E21" w:rsidRDefault="00C70E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8D" w:rsidRDefault="00443A8D" w:rsidP="00443A8D">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21" w:rsidRDefault="00C70E21">
      <w:r>
        <w:separator/>
      </w:r>
    </w:p>
  </w:footnote>
  <w:footnote w:type="continuationSeparator" w:id="0">
    <w:p w:rsidR="00C70E21" w:rsidRDefault="00C70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D5148B" w:rsidRDefault="00C70E21"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CD432E" w:rsidRDefault="00C70E21"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2FF1620C"/>
    <w:multiLevelType w:val="hybridMultilevel"/>
    <w:tmpl w:val="E2DA3FE2"/>
    <w:lvl w:ilvl="0" w:tplc="6144DB0C">
      <w:start w:val="18"/>
      <w:numFmt w:val="decimal"/>
      <w:lvlText w:val="%1"/>
      <w:lvlJc w:val="left"/>
      <w:pPr>
        <w:ind w:left="387" w:hanging="360"/>
      </w:pPr>
      <w:rPr>
        <w:rFonts w:hint="default"/>
      </w:rPr>
    </w:lvl>
    <w:lvl w:ilvl="1" w:tplc="040C0019" w:tentative="1">
      <w:start w:val="1"/>
      <w:numFmt w:val="lowerLetter"/>
      <w:lvlText w:val="%2."/>
      <w:lvlJc w:val="left"/>
      <w:pPr>
        <w:ind w:left="1107" w:hanging="360"/>
      </w:pPr>
    </w:lvl>
    <w:lvl w:ilvl="2" w:tplc="040C001B" w:tentative="1">
      <w:start w:val="1"/>
      <w:numFmt w:val="lowerRoman"/>
      <w:lvlText w:val="%3."/>
      <w:lvlJc w:val="right"/>
      <w:pPr>
        <w:ind w:left="1827" w:hanging="180"/>
      </w:pPr>
    </w:lvl>
    <w:lvl w:ilvl="3" w:tplc="040C000F" w:tentative="1">
      <w:start w:val="1"/>
      <w:numFmt w:val="decimal"/>
      <w:lvlText w:val="%4."/>
      <w:lvlJc w:val="left"/>
      <w:pPr>
        <w:ind w:left="2547" w:hanging="360"/>
      </w:pPr>
    </w:lvl>
    <w:lvl w:ilvl="4" w:tplc="040C0019" w:tentative="1">
      <w:start w:val="1"/>
      <w:numFmt w:val="lowerLetter"/>
      <w:lvlText w:val="%5."/>
      <w:lvlJc w:val="left"/>
      <w:pPr>
        <w:ind w:left="3267" w:hanging="360"/>
      </w:pPr>
    </w:lvl>
    <w:lvl w:ilvl="5" w:tplc="040C001B" w:tentative="1">
      <w:start w:val="1"/>
      <w:numFmt w:val="lowerRoman"/>
      <w:lvlText w:val="%6."/>
      <w:lvlJc w:val="right"/>
      <w:pPr>
        <w:ind w:left="3987" w:hanging="180"/>
      </w:pPr>
    </w:lvl>
    <w:lvl w:ilvl="6" w:tplc="040C000F" w:tentative="1">
      <w:start w:val="1"/>
      <w:numFmt w:val="decimal"/>
      <w:lvlText w:val="%7."/>
      <w:lvlJc w:val="left"/>
      <w:pPr>
        <w:ind w:left="4707" w:hanging="360"/>
      </w:pPr>
    </w:lvl>
    <w:lvl w:ilvl="7" w:tplc="040C0019" w:tentative="1">
      <w:start w:val="1"/>
      <w:numFmt w:val="lowerLetter"/>
      <w:lvlText w:val="%8."/>
      <w:lvlJc w:val="left"/>
      <w:pPr>
        <w:ind w:left="5427" w:hanging="360"/>
      </w:pPr>
    </w:lvl>
    <w:lvl w:ilvl="8" w:tplc="040C001B" w:tentative="1">
      <w:start w:val="1"/>
      <w:numFmt w:val="lowerRoman"/>
      <w:lvlText w:val="%9."/>
      <w:lvlJc w:val="right"/>
      <w:pPr>
        <w:ind w:left="6147" w:hanging="180"/>
      </w:p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D033391"/>
    <w:multiLevelType w:val="hybridMultilevel"/>
    <w:tmpl w:val="3B2A2D4E"/>
    <w:lvl w:ilvl="0" w:tplc="040C0001">
      <w:start w:val="1"/>
      <w:numFmt w:val="bullet"/>
      <w:lvlText w:val=""/>
      <w:lvlJc w:val="left"/>
      <w:pPr>
        <w:ind w:left="2061" w:hanging="360"/>
      </w:pPr>
      <w:rPr>
        <w:rFonts w:ascii="Symbol" w:hAnsi="Symbol" w:hint="default"/>
      </w:rPr>
    </w:lvl>
    <w:lvl w:ilvl="1" w:tplc="040C0019">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8">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9">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3">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7">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13"/>
  </w:num>
  <w:num w:numId="5">
    <w:abstractNumId w:val="9"/>
  </w:num>
  <w:num w:numId="6">
    <w:abstractNumId w:val="4"/>
  </w:num>
  <w:num w:numId="7">
    <w:abstractNumId w:val="8"/>
  </w:num>
  <w:num w:numId="8">
    <w:abstractNumId w:val="14"/>
  </w:num>
  <w:num w:numId="9">
    <w:abstractNumId w:val="16"/>
  </w:num>
  <w:num w:numId="10">
    <w:abstractNumId w:val="15"/>
  </w:num>
  <w:num w:numId="11">
    <w:abstractNumId w:val="12"/>
  </w:num>
  <w:num w:numId="12">
    <w:abstractNumId w:val="17"/>
  </w:num>
  <w:num w:numId="13">
    <w:abstractNumId w:val="10"/>
  </w:num>
  <w:num w:numId="14">
    <w:abstractNumId w:val="0"/>
  </w:num>
  <w:num w:numId="15">
    <w:abstractNumId w:val="11"/>
  </w:num>
  <w:num w:numId="16">
    <w:abstractNumId w:val="2"/>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777E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D5FF0"/>
    <w:rsid w:val="000E0D43"/>
    <w:rsid w:val="000E16C4"/>
    <w:rsid w:val="000E2E63"/>
    <w:rsid w:val="000E6369"/>
    <w:rsid w:val="000E77C0"/>
    <w:rsid w:val="000F0366"/>
    <w:rsid w:val="000F52BF"/>
    <w:rsid w:val="001017DE"/>
    <w:rsid w:val="0010424D"/>
    <w:rsid w:val="00104FD4"/>
    <w:rsid w:val="00111AA5"/>
    <w:rsid w:val="001144C6"/>
    <w:rsid w:val="0011658A"/>
    <w:rsid w:val="00121380"/>
    <w:rsid w:val="00122CC7"/>
    <w:rsid w:val="00126EA1"/>
    <w:rsid w:val="00127011"/>
    <w:rsid w:val="001309F1"/>
    <w:rsid w:val="001352C5"/>
    <w:rsid w:val="0014225D"/>
    <w:rsid w:val="00154461"/>
    <w:rsid w:val="00155E86"/>
    <w:rsid w:val="0015749E"/>
    <w:rsid w:val="00165738"/>
    <w:rsid w:val="00172CBE"/>
    <w:rsid w:val="00172D5D"/>
    <w:rsid w:val="0017482C"/>
    <w:rsid w:val="001753C3"/>
    <w:rsid w:val="00175BF5"/>
    <w:rsid w:val="00184472"/>
    <w:rsid w:val="001868B4"/>
    <w:rsid w:val="0019296D"/>
    <w:rsid w:val="001935E7"/>
    <w:rsid w:val="001A1A0A"/>
    <w:rsid w:val="001A2B32"/>
    <w:rsid w:val="001A38BA"/>
    <w:rsid w:val="001A5EB4"/>
    <w:rsid w:val="001B0EB1"/>
    <w:rsid w:val="001B6D72"/>
    <w:rsid w:val="001C30A0"/>
    <w:rsid w:val="001C3A38"/>
    <w:rsid w:val="001D1DB4"/>
    <w:rsid w:val="001E0C12"/>
    <w:rsid w:val="001E20D7"/>
    <w:rsid w:val="001E5777"/>
    <w:rsid w:val="001E5A41"/>
    <w:rsid w:val="001E6F3D"/>
    <w:rsid w:val="001F2D1F"/>
    <w:rsid w:val="001F5280"/>
    <w:rsid w:val="0020420C"/>
    <w:rsid w:val="002051A1"/>
    <w:rsid w:val="00210CE9"/>
    <w:rsid w:val="00211339"/>
    <w:rsid w:val="00225A3A"/>
    <w:rsid w:val="00227136"/>
    <w:rsid w:val="002344D3"/>
    <w:rsid w:val="00242448"/>
    <w:rsid w:val="0024792D"/>
    <w:rsid w:val="00251837"/>
    <w:rsid w:val="002524D5"/>
    <w:rsid w:val="00254045"/>
    <w:rsid w:val="00260B94"/>
    <w:rsid w:val="002638E5"/>
    <w:rsid w:val="00264CFC"/>
    <w:rsid w:val="00266598"/>
    <w:rsid w:val="00267A09"/>
    <w:rsid w:val="00267EED"/>
    <w:rsid w:val="00270BFE"/>
    <w:rsid w:val="00276A88"/>
    <w:rsid w:val="00277F78"/>
    <w:rsid w:val="0028302C"/>
    <w:rsid w:val="002835F2"/>
    <w:rsid w:val="00283ECE"/>
    <w:rsid w:val="00286746"/>
    <w:rsid w:val="00290685"/>
    <w:rsid w:val="00297CB8"/>
    <w:rsid w:val="002A7FA0"/>
    <w:rsid w:val="002B02A0"/>
    <w:rsid w:val="002B1C01"/>
    <w:rsid w:val="002B23AB"/>
    <w:rsid w:val="002B6992"/>
    <w:rsid w:val="002B6D6F"/>
    <w:rsid w:val="002C46AC"/>
    <w:rsid w:val="002C49E6"/>
    <w:rsid w:val="002D532C"/>
    <w:rsid w:val="002D5AC9"/>
    <w:rsid w:val="002E7D06"/>
    <w:rsid w:val="002F330A"/>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4F75"/>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5497"/>
    <w:rsid w:val="00376D47"/>
    <w:rsid w:val="003815AF"/>
    <w:rsid w:val="00382D87"/>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64BF"/>
    <w:rsid w:val="003E7964"/>
    <w:rsid w:val="003F2E76"/>
    <w:rsid w:val="004008E8"/>
    <w:rsid w:val="0040137B"/>
    <w:rsid w:val="00404A59"/>
    <w:rsid w:val="00407C9C"/>
    <w:rsid w:val="00411B0E"/>
    <w:rsid w:val="00423AE8"/>
    <w:rsid w:val="00423CB6"/>
    <w:rsid w:val="0042690B"/>
    <w:rsid w:val="00426F20"/>
    <w:rsid w:val="00433F66"/>
    <w:rsid w:val="00443A8D"/>
    <w:rsid w:val="00444A24"/>
    <w:rsid w:val="00447E34"/>
    <w:rsid w:val="00456AD8"/>
    <w:rsid w:val="00461C9A"/>
    <w:rsid w:val="00463EE5"/>
    <w:rsid w:val="004641C0"/>
    <w:rsid w:val="004667C3"/>
    <w:rsid w:val="0046700B"/>
    <w:rsid w:val="00471D70"/>
    <w:rsid w:val="004751DE"/>
    <w:rsid w:val="00476ED7"/>
    <w:rsid w:val="00483791"/>
    <w:rsid w:val="00496801"/>
    <w:rsid w:val="00497B76"/>
    <w:rsid w:val="00497FA1"/>
    <w:rsid w:val="00497FEA"/>
    <w:rsid w:val="004A0230"/>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16FC3"/>
    <w:rsid w:val="00522970"/>
    <w:rsid w:val="00524A10"/>
    <w:rsid w:val="00533F13"/>
    <w:rsid w:val="00535FF8"/>
    <w:rsid w:val="00544C03"/>
    <w:rsid w:val="005534D2"/>
    <w:rsid w:val="0055469D"/>
    <w:rsid w:val="005550DC"/>
    <w:rsid w:val="005579DB"/>
    <w:rsid w:val="00563233"/>
    <w:rsid w:val="005644D9"/>
    <w:rsid w:val="005823E9"/>
    <w:rsid w:val="00586B0A"/>
    <w:rsid w:val="00591436"/>
    <w:rsid w:val="00594068"/>
    <w:rsid w:val="005943B9"/>
    <w:rsid w:val="005C201F"/>
    <w:rsid w:val="005C4B1C"/>
    <w:rsid w:val="005C721A"/>
    <w:rsid w:val="005D0829"/>
    <w:rsid w:val="005D2C96"/>
    <w:rsid w:val="005E11C0"/>
    <w:rsid w:val="005E3A74"/>
    <w:rsid w:val="005F09A4"/>
    <w:rsid w:val="005F10E2"/>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613A6"/>
    <w:rsid w:val="00663A9D"/>
    <w:rsid w:val="006700E2"/>
    <w:rsid w:val="00670723"/>
    <w:rsid w:val="0068484C"/>
    <w:rsid w:val="00684DF9"/>
    <w:rsid w:val="00686C64"/>
    <w:rsid w:val="00690C2C"/>
    <w:rsid w:val="00696D5A"/>
    <w:rsid w:val="006A36BA"/>
    <w:rsid w:val="006A7FCB"/>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404D"/>
    <w:rsid w:val="00787A4B"/>
    <w:rsid w:val="00794262"/>
    <w:rsid w:val="00797015"/>
    <w:rsid w:val="007A3D13"/>
    <w:rsid w:val="007B23B0"/>
    <w:rsid w:val="007B2CF4"/>
    <w:rsid w:val="007B3ED2"/>
    <w:rsid w:val="007C03D7"/>
    <w:rsid w:val="007C1CBE"/>
    <w:rsid w:val="007C3003"/>
    <w:rsid w:val="007C43A3"/>
    <w:rsid w:val="007C56F5"/>
    <w:rsid w:val="007C6354"/>
    <w:rsid w:val="007D5139"/>
    <w:rsid w:val="007E1C2E"/>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64253"/>
    <w:rsid w:val="008738CC"/>
    <w:rsid w:val="00874D23"/>
    <w:rsid w:val="008760C9"/>
    <w:rsid w:val="0088620D"/>
    <w:rsid w:val="00887141"/>
    <w:rsid w:val="00893909"/>
    <w:rsid w:val="00895648"/>
    <w:rsid w:val="008A14C5"/>
    <w:rsid w:val="008A28BC"/>
    <w:rsid w:val="008B04D8"/>
    <w:rsid w:val="008B4281"/>
    <w:rsid w:val="008B5A33"/>
    <w:rsid w:val="008B63A2"/>
    <w:rsid w:val="008B6FF9"/>
    <w:rsid w:val="008C2340"/>
    <w:rsid w:val="008C32BA"/>
    <w:rsid w:val="008C5164"/>
    <w:rsid w:val="008C784B"/>
    <w:rsid w:val="008D1E73"/>
    <w:rsid w:val="008E116A"/>
    <w:rsid w:val="008E7999"/>
    <w:rsid w:val="008F7D18"/>
    <w:rsid w:val="00900DA5"/>
    <w:rsid w:val="00907C4E"/>
    <w:rsid w:val="009123FC"/>
    <w:rsid w:val="0091377B"/>
    <w:rsid w:val="0091455F"/>
    <w:rsid w:val="00914639"/>
    <w:rsid w:val="00916C48"/>
    <w:rsid w:val="00924F2D"/>
    <w:rsid w:val="00925E4D"/>
    <w:rsid w:val="00932032"/>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B6E04"/>
    <w:rsid w:val="009C306C"/>
    <w:rsid w:val="009C5C6E"/>
    <w:rsid w:val="009D1D0B"/>
    <w:rsid w:val="009D6048"/>
    <w:rsid w:val="009E0038"/>
    <w:rsid w:val="009E3426"/>
    <w:rsid w:val="009E6F8C"/>
    <w:rsid w:val="00A04DDC"/>
    <w:rsid w:val="00A12A80"/>
    <w:rsid w:val="00A14463"/>
    <w:rsid w:val="00A14A7D"/>
    <w:rsid w:val="00A24D61"/>
    <w:rsid w:val="00A2559D"/>
    <w:rsid w:val="00A33AB2"/>
    <w:rsid w:val="00A37A1F"/>
    <w:rsid w:val="00A42C92"/>
    <w:rsid w:val="00A450B7"/>
    <w:rsid w:val="00A512FF"/>
    <w:rsid w:val="00A570FA"/>
    <w:rsid w:val="00A64051"/>
    <w:rsid w:val="00A642AC"/>
    <w:rsid w:val="00A72FB7"/>
    <w:rsid w:val="00A73C75"/>
    <w:rsid w:val="00A76075"/>
    <w:rsid w:val="00A77A36"/>
    <w:rsid w:val="00A802E7"/>
    <w:rsid w:val="00A86ED7"/>
    <w:rsid w:val="00A9638F"/>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4768C"/>
    <w:rsid w:val="00B611DB"/>
    <w:rsid w:val="00B65DD4"/>
    <w:rsid w:val="00B7100A"/>
    <w:rsid w:val="00B74848"/>
    <w:rsid w:val="00B76158"/>
    <w:rsid w:val="00B776CB"/>
    <w:rsid w:val="00B81824"/>
    <w:rsid w:val="00B86891"/>
    <w:rsid w:val="00B86D3E"/>
    <w:rsid w:val="00B9236B"/>
    <w:rsid w:val="00BA1362"/>
    <w:rsid w:val="00BA3859"/>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0E21"/>
    <w:rsid w:val="00C73052"/>
    <w:rsid w:val="00C73125"/>
    <w:rsid w:val="00C808A3"/>
    <w:rsid w:val="00C82CFA"/>
    <w:rsid w:val="00C831C7"/>
    <w:rsid w:val="00C84397"/>
    <w:rsid w:val="00C90FB7"/>
    <w:rsid w:val="00C916C7"/>
    <w:rsid w:val="00CA71F9"/>
    <w:rsid w:val="00CB26B7"/>
    <w:rsid w:val="00CB4BC3"/>
    <w:rsid w:val="00CC30B4"/>
    <w:rsid w:val="00CC4C07"/>
    <w:rsid w:val="00CC6388"/>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27FC1"/>
    <w:rsid w:val="00D318F2"/>
    <w:rsid w:val="00D336C2"/>
    <w:rsid w:val="00D34486"/>
    <w:rsid w:val="00D35EF5"/>
    <w:rsid w:val="00D47A3E"/>
    <w:rsid w:val="00D5148B"/>
    <w:rsid w:val="00D576A2"/>
    <w:rsid w:val="00D57B54"/>
    <w:rsid w:val="00D62688"/>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02001"/>
    <w:rsid w:val="00E031D6"/>
    <w:rsid w:val="00E14128"/>
    <w:rsid w:val="00E21039"/>
    <w:rsid w:val="00E21DEF"/>
    <w:rsid w:val="00E24CBC"/>
    <w:rsid w:val="00E275CE"/>
    <w:rsid w:val="00E37CFC"/>
    <w:rsid w:val="00E41D68"/>
    <w:rsid w:val="00E43209"/>
    <w:rsid w:val="00E61842"/>
    <w:rsid w:val="00E67417"/>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312D"/>
    <w:rsid w:val="00EB3FF9"/>
    <w:rsid w:val="00EB4FFB"/>
    <w:rsid w:val="00EB58F7"/>
    <w:rsid w:val="00EC4858"/>
    <w:rsid w:val="00EC4A80"/>
    <w:rsid w:val="00EC7E87"/>
    <w:rsid w:val="00ED2468"/>
    <w:rsid w:val="00ED591F"/>
    <w:rsid w:val="00ED66B6"/>
    <w:rsid w:val="00ED6926"/>
    <w:rsid w:val="00EE01F2"/>
    <w:rsid w:val="00EE1DDA"/>
    <w:rsid w:val="00EE50C3"/>
    <w:rsid w:val="00EE5D87"/>
    <w:rsid w:val="00EF2829"/>
    <w:rsid w:val="00EF3E19"/>
    <w:rsid w:val="00F02794"/>
    <w:rsid w:val="00F06816"/>
    <w:rsid w:val="00F06F5C"/>
    <w:rsid w:val="00F07591"/>
    <w:rsid w:val="00F109FD"/>
    <w:rsid w:val="00F21BAC"/>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762C2"/>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5A59"/>
    <w:rsid w:val="00FD6769"/>
    <w:rsid w:val="00FD73CC"/>
    <w:rsid w:val="00FD7C2B"/>
    <w:rsid w:val="00FD7FE1"/>
    <w:rsid w:val="00FE11A9"/>
    <w:rsid w:val="00FF38B0"/>
    <w:rsid w:val="00FF433E"/>
    <w:rsid w:val="00FF4792"/>
    <w:rsid w:val="00FF6439"/>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uiPriority w:val="34"/>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1"/>
    <w:aliases w:val="EmailStyle271"/>
    <w:basedOn w:val="Policepardfaut"/>
    <w:semiHidden/>
    <w:personal/>
    <w:personalReply/>
    <w:rsid w:val="007C43A3"/>
    <w:rPr>
      <w:rFonts w:ascii="Arial" w:hAnsi="Arial" w:cs="Arial"/>
      <w:color w:val="000080"/>
      <w:sz w:val="20"/>
      <w:szCs w:val="20"/>
    </w:rPr>
  </w:style>
  <w:style w:type="character" w:customStyle="1" w:styleId="EmailStyle281">
    <w:name w:val="EmailStyle28"/>
    <w:aliases w:val="EmailStyle28"/>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EB8F7-5E3B-4424-86ED-802F79F2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353</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10</cp:revision>
  <cp:lastPrinted>2016-06-21T14:35:00Z</cp:lastPrinted>
  <dcterms:created xsi:type="dcterms:W3CDTF">2016-06-21T14:28:00Z</dcterms:created>
  <dcterms:modified xsi:type="dcterms:W3CDTF">2016-07-08T13:52:00Z</dcterms:modified>
</cp:coreProperties>
</file>