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AF" w:rsidRPr="00FD5211" w:rsidRDefault="00C156AF" w:rsidP="00CD6E94">
      <w:pPr>
        <w:pStyle w:val="Titre1"/>
        <w:ind w:left="851"/>
        <w:rPr>
          <w:rFonts w:ascii="Arial" w:hAnsi="Arial" w:cs="Arial"/>
          <w:vanish w:val="0"/>
          <w:sz w:val="28"/>
          <w:szCs w:val="28"/>
        </w:rPr>
      </w:pPr>
      <w:r w:rsidRPr="00FD5211">
        <w:rPr>
          <w:rFonts w:ascii="Arial" w:hAnsi="Arial" w:cs="Arial"/>
          <w:vanish w:val="0"/>
          <w:sz w:val="28"/>
          <w:szCs w:val="28"/>
        </w:rPr>
        <w:t>Ville de Riorges</w:t>
      </w:r>
    </w:p>
    <w:p w:rsidR="00C156AF" w:rsidRPr="00FD5211" w:rsidRDefault="00703701" w:rsidP="00BF13FC">
      <w:pPr>
        <w:pStyle w:val="Titre1"/>
        <w:tabs>
          <w:tab w:val="right" w:pos="9639"/>
        </w:tabs>
        <w:ind w:left="851"/>
        <w:rPr>
          <w:rFonts w:ascii="Arial" w:hAnsi="Arial"/>
          <w:vanish w:val="0"/>
        </w:rPr>
      </w:pPr>
      <w:r>
        <w:rPr>
          <w:rFonts w:ascii="Arial" w:hAnsi="Arial"/>
          <w:vanish w:val="0"/>
        </w:rPr>
        <w:t>Délibération du c</w:t>
      </w:r>
      <w:r w:rsidR="00C156AF" w:rsidRPr="00FD5211">
        <w:rPr>
          <w:rFonts w:ascii="Arial" w:hAnsi="Arial"/>
          <w:vanish w:val="0"/>
        </w:rPr>
        <w:t xml:space="preserve">onseil municipal du </w:t>
      </w:r>
      <w:r w:rsidR="00F263F4">
        <w:rPr>
          <w:rFonts w:ascii="Arial" w:hAnsi="Arial"/>
          <w:vanish w:val="0"/>
        </w:rPr>
        <w:t>8 décembre</w:t>
      </w:r>
      <w:r w:rsidR="00B45BFB">
        <w:rPr>
          <w:rFonts w:ascii="Arial" w:hAnsi="Arial"/>
          <w:vanish w:val="0"/>
        </w:rPr>
        <w:t xml:space="preserve"> 2016</w:t>
      </w:r>
      <w:r w:rsidR="00C156AF" w:rsidRPr="00FD5211">
        <w:rPr>
          <w:rFonts w:ascii="Arial" w:hAnsi="Arial"/>
          <w:vanish w:val="0"/>
        </w:rPr>
        <w:tab/>
      </w:r>
      <w:r w:rsidR="00CD30E6">
        <w:rPr>
          <w:rFonts w:ascii="Arial" w:hAnsi="Arial"/>
          <w:vanish w:val="0"/>
        </w:rPr>
        <w:t>3.3</w:t>
      </w:r>
    </w:p>
    <w:p w:rsidR="006179EA" w:rsidRPr="00FD5211" w:rsidRDefault="006179EA">
      <w:pPr>
        <w:tabs>
          <w:tab w:val="left" w:pos="1276"/>
          <w:tab w:val="left" w:pos="3402"/>
        </w:tabs>
        <w:ind w:left="2269"/>
        <w:jc w:val="center"/>
        <w:rPr>
          <w:rFonts w:ascii="Arial" w:hAnsi="Arial"/>
          <w:b/>
          <w:sz w:val="22"/>
        </w:rPr>
      </w:pPr>
    </w:p>
    <w:p w:rsidR="006179EA" w:rsidRPr="00FD5211" w:rsidRDefault="006179EA">
      <w:pPr>
        <w:tabs>
          <w:tab w:val="left" w:pos="1276"/>
          <w:tab w:val="left" w:pos="3402"/>
        </w:tabs>
        <w:ind w:left="2269"/>
        <w:jc w:val="center"/>
        <w:rPr>
          <w:rFonts w:ascii="Arial" w:hAnsi="Arial"/>
          <w:b/>
          <w:sz w:val="22"/>
        </w:rPr>
      </w:pPr>
    </w:p>
    <w:p w:rsidR="00C863D4" w:rsidRPr="00FD5211" w:rsidRDefault="00C863D4">
      <w:pPr>
        <w:tabs>
          <w:tab w:val="left" w:pos="1276"/>
          <w:tab w:val="left" w:pos="3402"/>
        </w:tabs>
        <w:ind w:left="2269"/>
        <w:jc w:val="center"/>
        <w:rPr>
          <w:rFonts w:ascii="Arial" w:hAnsi="Arial"/>
          <w:b/>
          <w:sz w:val="22"/>
        </w:rPr>
      </w:pPr>
    </w:p>
    <w:p w:rsidR="00AB3271" w:rsidRPr="00FD5211" w:rsidRDefault="00AB3271" w:rsidP="00AB3271">
      <w:pPr>
        <w:pStyle w:val="Titre2"/>
        <w:jc w:val="right"/>
        <w:rPr>
          <w:rFonts w:ascii="Arial" w:hAnsi="Arial" w:cs="Arial"/>
        </w:rPr>
      </w:pPr>
      <w:r w:rsidRPr="00FD5211">
        <w:rPr>
          <w:rFonts w:ascii="Arial" w:hAnsi="Arial" w:cs="Arial"/>
        </w:rPr>
        <w:t>CADRE DE VIE-</w:t>
      </w:r>
      <w:r w:rsidR="007108D9" w:rsidRPr="00FD5211">
        <w:rPr>
          <w:rFonts w:ascii="Arial" w:hAnsi="Arial" w:cs="Arial"/>
        </w:rPr>
        <w:t>COMMERCE-ARTISANAT-</w:t>
      </w:r>
    </w:p>
    <w:p w:rsidR="006179EA" w:rsidRPr="00FD5211" w:rsidRDefault="00AB3271" w:rsidP="00AB3271">
      <w:pPr>
        <w:pStyle w:val="Titre2"/>
        <w:jc w:val="right"/>
        <w:rPr>
          <w:rFonts w:ascii="Arial" w:hAnsi="Arial" w:cs="Arial"/>
        </w:rPr>
      </w:pPr>
      <w:r w:rsidRPr="00FD5211">
        <w:rPr>
          <w:rFonts w:ascii="Arial" w:hAnsi="Arial" w:cs="Arial"/>
        </w:rPr>
        <w:t>DEVELOPPEMENT DURABLE</w:t>
      </w:r>
    </w:p>
    <w:p w:rsidR="006179EA" w:rsidRPr="00FD5211" w:rsidRDefault="006179EA">
      <w:pPr>
        <w:tabs>
          <w:tab w:val="left" w:pos="1276"/>
          <w:tab w:val="left" w:pos="3261"/>
        </w:tabs>
        <w:ind w:left="2269"/>
        <w:jc w:val="right"/>
        <w:rPr>
          <w:rFonts w:ascii="Arial" w:hAnsi="Arial"/>
          <w:b/>
          <w:sz w:val="22"/>
        </w:rPr>
      </w:pPr>
    </w:p>
    <w:p w:rsidR="006179EA" w:rsidRPr="00FD5211" w:rsidRDefault="00F263F4">
      <w:pPr>
        <w:pStyle w:val="Titre4"/>
        <w:jc w:val="right"/>
        <w:rPr>
          <w:rFonts w:ascii="Arial" w:hAnsi="Arial"/>
        </w:rPr>
      </w:pPr>
      <w:r>
        <w:rPr>
          <w:rFonts w:ascii="Arial" w:hAnsi="Arial"/>
        </w:rPr>
        <w:t>ZAC DU TRIANGLE DES CANAUX</w:t>
      </w:r>
    </w:p>
    <w:p w:rsidR="00D10D94" w:rsidRPr="00FD5211" w:rsidRDefault="006179EA" w:rsidP="00CF2CBE">
      <w:pPr>
        <w:pStyle w:val="Titre7"/>
        <w:rPr>
          <w:sz w:val="22"/>
        </w:rPr>
      </w:pPr>
      <w:r w:rsidRPr="00FD5211">
        <w:rPr>
          <w:sz w:val="22"/>
        </w:rPr>
        <w:t>COMPTE-RENDU ANNUEL D'ACTIVITE 20</w:t>
      </w:r>
      <w:r w:rsidR="00CF2CBE" w:rsidRPr="00FD5211">
        <w:rPr>
          <w:sz w:val="22"/>
        </w:rPr>
        <w:t>1</w:t>
      </w:r>
      <w:r w:rsidR="00B45BFB">
        <w:rPr>
          <w:sz w:val="22"/>
        </w:rPr>
        <w:t>5</w:t>
      </w:r>
    </w:p>
    <w:p w:rsidR="006179EA" w:rsidRPr="00FD5211" w:rsidRDefault="006179EA" w:rsidP="00D10D94">
      <w:pPr>
        <w:pStyle w:val="Titre7"/>
        <w:rPr>
          <w:sz w:val="22"/>
        </w:rPr>
      </w:pPr>
      <w:r w:rsidRPr="00FD5211">
        <w:rPr>
          <w:sz w:val="22"/>
        </w:rPr>
        <w:t xml:space="preserve">ETABLI PAR </w:t>
      </w:r>
      <w:r w:rsidR="00F263F4">
        <w:rPr>
          <w:sz w:val="22"/>
        </w:rPr>
        <w:t>LA SEDL</w:t>
      </w:r>
    </w:p>
    <w:p w:rsidR="006179EA" w:rsidRPr="00FD5211" w:rsidRDefault="006179EA">
      <w:pPr>
        <w:pStyle w:val="Titre7"/>
        <w:rPr>
          <w:sz w:val="22"/>
        </w:rPr>
      </w:pPr>
      <w:r w:rsidRPr="00FD5211">
        <w:rPr>
          <w:sz w:val="22"/>
        </w:rPr>
        <w:t>APPROBATION</w:t>
      </w:r>
    </w:p>
    <w:p w:rsidR="006179EA" w:rsidRDefault="006179EA">
      <w:pPr>
        <w:ind w:left="1418"/>
        <w:jc w:val="both"/>
        <w:rPr>
          <w:rFonts w:ascii="Arial" w:hAnsi="Arial"/>
          <w:sz w:val="22"/>
        </w:rPr>
      </w:pPr>
    </w:p>
    <w:p w:rsidR="00BB581A" w:rsidRDefault="00BB581A">
      <w:pPr>
        <w:ind w:left="1418"/>
        <w:jc w:val="both"/>
        <w:rPr>
          <w:rFonts w:ascii="Arial" w:hAnsi="Arial"/>
          <w:sz w:val="22"/>
        </w:rPr>
      </w:pPr>
    </w:p>
    <w:p w:rsidR="00F263F4" w:rsidRDefault="00F263F4">
      <w:pPr>
        <w:ind w:left="1418"/>
        <w:jc w:val="both"/>
        <w:rPr>
          <w:rFonts w:ascii="Arial" w:hAnsi="Arial"/>
          <w:sz w:val="22"/>
        </w:rPr>
      </w:pPr>
    </w:p>
    <w:p w:rsidR="00F263F4" w:rsidRDefault="00F263F4">
      <w:pPr>
        <w:ind w:left="1418"/>
        <w:jc w:val="both"/>
        <w:rPr>
          <w:rFonts w:ascii="Arial" w:hAnsi="Arial"/>
          <w:sz w:val="22"/>
        </w:rPr>
      </w:pPr>
    </w:p>
    <w:p w:rsidR="00703701" w:rsidRDefault="00703701"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FD5211" w:rsidRDefault="00FD5211">
      <w:pPr>
        <w:ind w:left="1418"/>
        <w:jc w:val="both"/>
        <w:rPr>
          <w:rFonts w:ascii="Arial" w:hAnsi="Arial"/>
          <w:sz w:val="22"/>
        </w:rPr>
      </w:pPr>
    </w:p>
    <w:p w:rsidR="00F263F4" w:rsidRDefault="00703701" w:rsidP="00F263F4">
      <w:pPr>
        <w:autoSpaceDE w:val="0"/>
        <w:autoSpaceDN w:val="0"/>
        <w:adjustRightInd w:val="0"/>
        <w:ind w:left="1418"/>
        <w:jc w:val="both"/>
        <w:rPr>
          <w:rFonts w:ascii="Arial" w:hAnsi="Arial" w:cs="Arial"/>
          <w:sz w:val="22"/>
          <w:szCs w:val="22"/>
        </w:rPr>
      </w:pPr>
      <w:r>
        <w:rPr>
          <w:rFonts w:ascii="Arial" w:hAnsi="Arial" w:cs="Arial"/>
          <w:b/>
          <w:sz w:val="22"/>
          <w:szCs w:val="22"/>
        </w:rPr>
        <w:t>"</w:t>
      </w:r>
      <w:r w:rsidR="00F263F4" w:rsidRPr="00F263F4">
        <w:rPr>
          <w:rFonts w:ascii="Arial" w:hAnsi="Arial" w:cs="Arial"/>
          <w:sz w:val="22"/>
          <w:szCs w:val="22"/>
        </w:rPr>
        <w:t xml:space="preserve">Le </w:t>
      </w:r>
      <w:r w:rsidR="00F263F4">
        <w:rPr>
          <w:rFonts w:ascii="Arial" w:hAnsi="Arial" w:cs="Arial"/>
          <w:sz w:val="22"/>
          <w:szCs w:val="22"/>
        </w:rPr>
        <w:t>compte-r</w:t>
      </w:r>
      <w:r w:rsidR="00F263F4" w:rsidRPr="00F263F4">
        <w:rPr>
          <w:rFonts w:ascii="Arial" w:hAnsi="Arial" w:cs="Arial"/>
          <w:sz w:val="22"/>
          <w:szCs w:val="22"/>
        </w:rPr>
        <w:t xml:space="preserve">endu </w:t>
      </w:r>
      <w:r w:rsidR="00F263F4">
        <w:rPr>
          <w:rFonts w:ascii="Arial" w:hAnsi="Arial" w:cs="Arial"/>
          <w:sz w:val="22"/>
          <w:szCs w:val="22"/>
        </w:rPr>
        <w:t>a</w:t>
      </w:r>
      <w:r w:rsidR="00F263F4" w:rsidRPr="00F263F4">
        <w:rPr>
          <w:rFonts w:ascii="Arial" w:hAnsi="Arial" w:cs="Arial"/>
          <w:sz w:val="22"/>
          <w:szCs w:val="22"/>
        </w:rPr>
        <w:t xml:space="preserve">nnuel à la </w:t>
      </w:r>
      <w:r w:rsidR="00F263F4">
        <w:rPr>
          <w:rFonts w:ascii="Arial" w:hAnsi="Arial" w:cs="Arial"/>
          <w:sz w:val="22"/>
          <w:szCs w:val="22"/>
        </w:rPr>
        <w:t>c</w:t>
      </w:r>
      <w:r w:rsidR="00F263F4" w:rsidRPr="00F263F4">
        <w:rPr>
          <w:rFonts w:ascii="Arial" w:hAnsi="Arial" w:cs="Arial"/>
          <w:sz w:val="22"/>
          <w:szCs w:val="22"/>
        </w:rPr>
        <w:t xml:space="preserve">ollectivité </w:t>
      </w:r>
      <w:r w:rsidR="00F263F4">
        <w:rPr>
          <w:rFonts w:ascii="Arial" w:hAnsi="Arial" w:cs="Arial"/>
          <w:sz w:val="22"/>
          <w:szCs w:val="22"/>
        </w:rPr>
        <w:t>l</w:t>
      </w:r>
      <w:r w:rsidR="00F263F4" w:rsidRPr="00F263F4">
        <w:rPr>
          <w:rFonts w:ascii="Arial" w:hAnsi="Arial" w:cs="Arial"/>
          <w:sz w:val="22"/>
          <w:szCs w:val="22"/>
        </w:rPr>
        <w:t>ocale concédante (CRACL) répond à des obligations juridiques</w:t>
      </w:r>
      <w:r w:rsidR="00F263F4">
        <w:rPr>
          <w:rFonts w:ascii="Arial" w:hAnsi="Arial" w:cs="Arial"/>
          <w:sz w:val="22"/>
          <w:szCs w:val="22"/>
        </w:rPr>
        <w:t xml:space="preserve"> </w:t>
      </w:r>
      <w:r w:rsidR="00F263F4" w:rsidRPr="00F263F4">
        <w:rPr>
          <w:rFonts w:ascii="Arial" w:hAnsi="Arial" w:cs="Arial"/>
          <w:sz w:val="22"/>
          <w:szCs w:val="22"/>
        </w:rPr>
        <w:t>définies par les dispositions combinées de l’article L.300–5 du Code de l’</w:t>
      </w:r>
      <w:r w:rsidR="00F263F4">
        <w:rPr>
          <w:rFonts w:ascii="Arial" w:hAnsi="Arial" w:cs="Arial"/>
          <w:sz w:val="22"/>
          <w:szCs w:val="22"/>
        </w:rPr>
        <w:t>u</w:t>
      </w:r>
      <w:r w:rsidR="00F263F4" w:rsidRPr="00F263F4">
        <w:rPr>
          <w:rFonts w:ascii="Arial" w:hAnsi="Arial" w:cs="Arial"/>
          <w:sz w:val="22"/>
          <w:szCs w:val="22"/>
        </w:rPr>
        <w:t>rbanisme ainsi que des articles</w:t>
      </w:r>
      <w:r w:rsidR="00F263F4">
        <w:rPr>
          <w:rFonts w:ascii="Arial" w:hAnsi="Arial" w:cs="Arial"/>
          <w:sz w:val="22"/>
          <w:szCs w:val="22"/>
        </w:rPr>
        <w:t xml:space="preserve"> L.1523</w:t>
      </w:r>
      <w:r w:rsidR="00F263F4" w:rsidRPr="00F263F4">
        <w:rPr>
          <w:rFonts w:ascii="Arial" w:hAnsi="Arial" w:cs="Arial"/>
          <w:sz w:val="22"/>
          <w:szCs w:val="22"/>
        </w:rPr>
        <w:t>–</w:t>
      </w:r>
      <w:r w:rsidR="00F263F4">
        <w:rPr>
          <w:rFonts w:ascii="Arial" w:hAnsi="Arial" w:cs="Arial"/>
          <w:sz w:val="22"/>
          <w:szCs w:val="22"/>
        </w:rPr>
        <w:t>2 et 1523</w:t>
      </w:r>
      <w:r w:rsidR="00F263F4" w:rsidRPr="00F263F4">
        <w:rPr>
          <w:rFonts w:ascii="Arial" w:hAnsi="Arial" w:cs="Arial"/>
          <w:sz w:val="22"/>
          <w:szCs w:val="22"/>
        </w:rPr>
        <w:t xml:space="preserve">–3 du Code </w:t>
      </w:r>
      <w:r w:rsidR="00F263F4">
        <w:rPr>
          <w:rFonts w:ascii="Arial" w:hAnsi="Arial" w:cs="Arial"/>
          <w:sz w:val="22"/>
          <w:szCs w:val="22"/>
        </w:rPr>
        <w:t>g</w:t>
      </w:r>
      <w:r w:rsidR="00F263F4" w:rsidRPr="00F263F4">
        <w:rPr>
          <w:rFonts w:ascii="Arial" w:hAnsi="Arial" w:cs="Arial"/>
          <w:sz w:val="22"/>
          <w:szCs w:val="22"/>
        </w:rPr>
        <w:t xml:space="preserve">énéral des </w:t>
      </w:r>
      <w:r w:rsidR="00F263F4">
        <w:rPr>
          <w:rFonts w:ascii="Arial" w:hAnsi="Arial" w:cs="Arial"/>
          <w:sz w:val="22"/>
          <w:szCs w:val="22"/>
        </w:rPr>
        <w:t>c</w:t>
      </w:r>
      <w:r w:rsidR="00F263F4" w:rsidRPr="00F263F4">
        <w:rPr>
          <w:rFonts w:ascii="Arial" w:hAnsi="Arial" w:cs="Arial"/>
          <w:sz w:val="22"/>
          <w:szCs w:val="22"/>
        </w:rPr>
        <w:t xml:space="preserve">ollectivités </w:t>
      </w:r>
      <w:r w:rsidR="00F263F4">
        <w:rPr>
          <w:rFonts w:ascii="Arial" w:hAnsi="Arial" w:cs="Arial"/>
          <w:sz w:val="22"/>
          <w:szCs w:val="22"/>
        </w:rPr>
        <w:t>t</w:t>
      </w:r>
      <w:r w:rsidR="00F263F4" w:rsidRPr="00F263F4">
        <w:rPr>
          <w:rFonts w:ascii="Arial" w:hAnsi="Arial" w:cs="Arial"/>
          <w:sz w:val="22"/>
          <w:szCs w:val="22"/>
        </w:rPr>
        <w:t>erritoriales.</w:t>
      </w:r>
    </w:p>
    <w:p w:rsidR="00F263F4" w:rsidRPr="00F263F4" w:rsidRDefault="00F263F4" w:rsidP="00F263F4">
      <w:pPr>
        <w:autoSpaceDE w:val="0"/>
        <w:autoSpaceDN w:val="0"/>
        <w:adjustRightInd w:val="0"/>
        <w:ind w:left="1418"/>
        <w:jc w:val="both"/>
        <w:rPr>
          <w:rFonts w:ascii="Arial" w:hAnsi="Arial" w:cs="Arial"/>
          <w:sz w:val="22"/>
          <w:szCs w:val="22"/>
        </w:rPr>
      </w:pPr>
    </w:p>
    <w:p w:rsid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Il est présenté annuellement par l’</w:t>
      </w:r>
      <w:r>
        <w:rPr>
          <w:rFonts w:ascii="Arial" w:hAnsi="Arial" w:cs="Arial"/>
          <w:sz w:val="22"/>
          <w:szCs w:val="22"/>
        </w:rPr>
        <w:t>a</w:t>
      </w:r>
      <w:r w:rsidRPr="00F263F4">
        <w:rPr>
          <w:rFonts w:ascii="Arial" w:hAnsi="Arial" w:cs="Arial"/>
          <w:sz w:val="22"/>
          <w:szCs w:val="22"/>
        </w:rPr>
        <w:t>ménageur concessionnaire.</w:t>
      </w:r>
    </w:p>
    <w:p w:rsidR="00F263F4" w:rsidRPr="00F263F4" w:rsidRDefault="00F263F4" w:rsidP="00F263F4">
      <w:pPr>
        <w:autoSpaceDE w:val="0"/>
        <w:autoSpaceDN w:val="0"/>
        <w:adjustRightInd w:val="0"/>
        <w:ind w:left="1418"/>
        <w:jc w:val="both"/>
        <w:rPr>
          <w:rFonts w:ascii="Arial" w:hAnsi="Arial" w:cs="Arial"/>
          <w:sz w:val="22"/>
          <w:szCs w:val="22"/>
        </w:rPr>
      </w:pPr>
    </w:p>
    <w:p w:rsid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Son objet est de faire le point sur l’avancement opérationnel, administratif et financier de l’opération</w:t>
      </w:r>
      <w:r>
        <w:rPr>
          <w:rFonts w:ascii="Arial" w:hAnsi="Arial" w:cs="Arial"/>
          <w:sz w:val="22"/>
          <w:szCs w:val="22"/>
        </w:rPr>
        <w:t xml:space="preserve"> </w:t>
      </w:r>
      <w:r w:rsidRPr="00F263F4">
        <w:rPr>
          <w:rFonts w:ascii="Arial" w:hAnsi="Arial" w:cs="Arial"/>
          <w:sz w:val="22"/>
          <w:szCs w:val="22"/>
        </w:rPr>
        <w:t>d’aménagement au 31 décembre de chaque année écoulée et d’exposer les conditions de poursuite de</w:t>
      </w:r>
      <w:r>
        <w:rPr>
          <w:rFonts w:ascii="Arial" w:hAnsi="Arial" w:cs="Arial"/>
          <w:sz w:val="22"/>
          <w:szCs w:val="22"/>
        </w:rPr>
        <w:t xml:space="preserve"> </w:t>
      </w:r>
      <w:r w:rsidRPr="00F263F4">
        <w:rPr>
          <w:rFonts w:ascii="Arial" w:hAnsi="Arial" w:cs="Arial"/>
          <w:sz w:val="22"/>
          <w:szCs w:val="22"/>
        </w:rPr>
        <w:t>l’opération en prenant en compte une hypothèse d’échéancier de recettes et de dépenses en fonction des</w:t>
      </w:r>
      <w:r>
        <w:rPr>
          <w:rFonts w:ascii="Arial" w:hAnsi="Arial" w:cs="Arial"/>
          <w:sz w:val="22"/>
          <w:szCs w:val="22"/>
        </w:rPr>
        <w:t xml:space="preserve"> </w:t>
      </w:r>
      <w:r w:rsidRPr="00F263F4">
        <w:rPr>
          <w:rFonts w:ascii="Arial" w:hAnsi="Arial" w:cs="Arial"/>
          <w:sz w:val="22"/>
          <w:szCs w:val="22"/>
        </w:rPr>
        <w:t>prévisions les plus raisonnables tenant compte des évolutions de la conjoncture tant économique que</w:t>
      </w:r>
      <w:r>
        <w:rPr>
          <w:rFonts w:ascii="Arial" w:hAnsi="Arial" w:cs="Arial"/>
          <w:sz w:val="22"/>
          <w:szCs w:val="22"/>
        </w:rPr>
        <w:t xml:space="preserve"> </w:t>
      </w:r>
      <w:r w:rsidRPr="00F263F4">
        <w:rPr>
          <w:rFonts w:ascii="Arial" w:hAnsi="Arial" w:cs="Arial"/>
          <w:sz w:val="22"/>
          <w:szCs w:val="22"/>
        </w:rPr>
        <w:t>sociale et des prix.</w:t>
      </w:r>
    </w:p>
    <w:p w:rsidR="00F263F4" w:rsidRPr="00F263F4" w:rsidRDefault="00F263F4" w:rsidP="00F263F4">
      <w:pPr>
        <w:autoSpaceDE w:val="0"/>
        <w:autoSpaceDN w:val="0"/>
        <w:adjustRightInd w:val="0"/>
        <w:ind w:left="1418"/>
        <w:jc w:val="both"/>
        <w:rPr>
          <w:rFonts w:ascii="Arial" w:hAnsi="Arial" w:cs="Arial"/>
          <w:sz w:val="22"/>
          <w:szCs w:val="22"/>
        </w:rPr>
      </w:pPr>
    </w:p>
    <w:p w:rsidR="00F263F4" w:rsidRP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Le présent CRACL est présenté par application de l’article 31 de la convention de concession signée par la</w:t>
      </w:r>
      <w:r>
        <w:rPr>
          <w:rFonts w:ascii="Arial" w:hAnsi="Arial" w:cs="Arial"/>
          <w:sz w:val="22"/>
          <w:szCs w:val="22"/>
        </w:rPr>
        <w:t xml:space="preserve"> </w:t>
      </w:r>
      <w:r w:rsidRPr="00F263F4">
        <w:rPr>
          <w:rFonts w:ascii="Arial" w:hAnsi="Arial" w:cs="Arial"/>
          <w:sz w:val="22"/>
          <w:szCs w:val="22"/>
        </w:rPr>
        <w:t>commune de Riorges avec la SEDL le 17 septembre 2012.</w:t>
      </w:r>
    </w:p>
    <w:p w:rsid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 xml:space="preserve">La délibération autorisant cette signature a été reçue en </w:t>
      </w:r>
      <w:r>
        <w:rPr>
          <w:rFonts w:ascii="Arial" w:hAnsi="Arial" w:cs="Arial"/>
          <w:sz w:val="22"/>
          <w:szCs w:val="22"/>
        </w:rPr>
        <w:t>p</w:t>
      </w:r>
      <w:r w:rsidRPr="00F263F4">
        <w:rPr>
          <w:rFonts w:ascii="Arial" w:hAnsi="Arial" w:cs="Arial"/>
          <w:sz w:val="22"/>
          <w:szCs w:val="22"/>
        </w:rPr>
        <w:t>réfecture le 17 juillet 2012 et transmise à la</w:t>
      </w:r>
      <w:r>
        <w:rPr>
          <w:rFonts w:ascii="Arial" w:hAnsi="Arial" w:cs="Arial"/>
          <w:sz w:val="22"/>
          <w:szCs w:val="22"/>
        </w:rPr>
        <w:t xml:space="preserve"> </w:t>
      </w:r>
      <w:r w:rsidRPr="00F263F4">
        <w:rPr>
          <w:rFonts w:ascii="Arial" w:hAnsi="Arial" w:cs="Arial"/>
          <w:sz w:val="22"/>
          <w:szCs w:val="22"/>
        </w:rPr>
        <w:t>SEDL le 17 septembre 2012, lors de la signature du traité.</w:t>
      </w:r>
    </w:p>
    <w:p w:rsidR="00F263F4" w:rsidRPr="00F263F4" w:rsidRDefault="00F263F4" w:rsidP="00F263F4">
      <w:pPr>
        <w:autoSpaceDE w:val="0"/>
        <w:autoSpaceDN w:val="0"/>
        <w:adjustRightInd w:val="0"/>
        <w:ind w:left="1418"/>
        <w:jc w:val="both"/>
        <w:rPr>
          <w:rFonts w:ascii="Arial" w:hAnsi="Arial" w:cs="Arial"/>
          <w:sz w:val="22"/>
          <w:szCs w:val="22"/>
        </w:rPr>
      </w:pPr>
    </w:p>
    <w:p w:rsidR="00F263F4" w:rsidRP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Il présente l’avancement opérationnel, administratif et financier de l’opération, ainsi que les conditions de</w:t>
      </w:r>
      <w:r>
        <w:rPr>
          <w:rFonts w:ascii="Arial" w:hAnsi="Arial" w:cs="Arial"/>
          <w:sz w:val="22"/>
          <w:szCs w:val="22"/>
        </w:rPr>
        <w:t xml:space="preserve"> </w:t>
      </w:r>
      <w:r w:rsidRPr="00F263F4">
        <w:rPr>
          <w:rFonts w:ascii="Arial" w:hAnsi="Arial" w:cs="Arial"/>
          <w:sz w:val="22"/>
          <w:szCs w:val="22"/>
        </w:rPr>
        <w:t>poursuite de l’opération de la ZAC du Triangle des Canaux à la date du 31</w:t>
      </w:r>
      <w:r>
        <w:rPr>
          <w:rFonts w:ascii="Arial" w:hAnsi="Arial" w:cs="Arial"/>
          <w:sz w:val="22"/>
          <w:szCs w:val="22"/>
        </w:rPr>
        <w:t xml:space="preserve"> décembre </w:t>
      </w:r>
      <w:r w:rsidRPr="00F263F4">
        <w:rPr>
          <w:rFonts w:ascii="Arial" w:hAnsi="Arial" w:cs="Arial"/>
          <w:sz w:val="22"/>
          <w:szCs w:val="22"/>
        </w:rPr>
        <w:t>2015.</w:t>
      </w:r>
    </w:p>
    <w:p w:rsidR="00F263F4" w:rsidRDefault="00F263F4" w:rsidP="00F263F4">
      <w:pPr>
        <w:autoSpaceDE w:val="0"/>
        <w:autoSpaceDN w:val="0"/>
        <w:adjustRightInd w:val="0"/>
        <w:ind w:left="1418"/>
        <w:jc w:val="both"/>
        <w:rPr>
          <w:rFonts w:ascii="Arial" w:hAnsi="Arial" w:cs="Arial"/>
          <w:sz w:val="22"/>
          <w:szCs w:val="22"/>
        </w:rPr>
      </w:pPr>
    </w:p>
    <w:p w:rsidR="00F263F4" w:rsidRDefault="00F263F4" w:rsidP="00F263F4">
      <w:pPr>
        <w:autoSpaceDE w:val="0"/>
        <w:autoSpaceDN w:val="0"/>
        <w:adjustRightInd w:val="0"/>
        <w:ind w:left="1418"/>
        <w:jc w:val="both"/>
        <w:rPr>
          <w:rFonts w:ascii="Arial" w:hAnsi="Arial" w:cs="Arial"/>
          <w:sz w:val="22"/>
          <w:szCs w:val="22"/>
        </w:rPr>
      </w:pPr>
      <w:r w:rsidRPr="00F263F4">
        <w:rPr>
          <w:rFonts w:ascii="Arial" w:hAnsi="Arial" w:cs="Arial"/>
          <w:sz w:val="22"/>
          <w:szCs w:val="22"/>
        </w:rPr>
        <w:t>L’objectif de la ZAC du Triangle des Canaux à Riorges est de proposer sur un îlot de 8</w:t>
      </w:r>
      <w:r>
        <w:rPr>
          <w:rFonts w:ascii="Arial" w:hAnsi="Arial" w:cs="Arial"/>
          <w:sz w:val="22"/>
          <w:szCs w:val="22"/>
        </w:rPr>
        <w:t xml:space="preserve"> </w:t>
      </w:r>
      <w:r w:rsidRPr="00F263F4">
        <w:rPr>
          <w:rFonts w:ascii="Arial" w:hAnsi="Arial" w:cs="Arial"/>
          <w:sz w:val="22"/>
          <w:szCs w:val="22"/>
        </w:rPr>
        <w:t>000 m²</w:t>
      </w:r>
      <w:r>
        <w:rPr>
          <w:rFonts w:ascii="Arial" w:hAnsi="Arial" w:cs="Arial"/>
          <w:sz w:val="22"/>
          <w:szCs w:val="22"/>
        </w:rPr>
        <w:t>,</w:t>
      </w:r>
      <w:r w:rsidRPr="00F263F4">
        <w:rPr>
          <w:rFonts w:ascii="Arial" w:hAnsi="Arial" w:cs="Arial"/>
          <w:sz w:val="22"/>
          <w:szCs w:val="22"/>
        </w:rPr>
        <w:t xml:space="preserve"> la création de</w:t>
      </w:r>
      <w:r>
        <w:rPr>
          <w:rFonts w:ascii="Arial" w:hAnsi="Arial" w:cs="Arial"/>
          <w:sz w:val="22"/>
          <w:szCs w:val="22"/>
        </w:rPr>
        <w:t xml:space="preserve"> </w:t>
      </w:r>
      <w:r w:rsidRPr="00F263F4">
        <w:rPr>
          <w:rFonts w:ascii="Arial" w:hAnsi="Arial" w:cs="Arial"/>
          <w:sz w:val="22"/>
          <w:szCs w:val="22"/>
        </w:rPr>
        <w:t>75 logements environ soit 6</w:t>
      </w:r>
      <w:r>
        <w:rPr>
          <w:rFonts w:ascii="Arial" w:hAnsi="Arial" w:cs="Arial"/>
          <w:sz w:val="22"/>
          <w:szCs w:val="22"/>
        </w:rPr>
        <w:t xml:space="preserve"> </w:t>
      </w:r>
      <w:r w:rsidRPr="00F263F4">
        <w:rPr>
          <w:rFonts w:ascii="Arial" w:hAnsi="Arial" w:cs="Arial"/>
          <w:sz w:val="22"/>
          <w:szCs w:val="22"/>
        </w:rPr>
        <w:t>000 m² de surface de plancher et 500 m² de surface de commerces, répartis en</w:t>
      </w:r>
      <w:r>
        <w:rPr>
          <w:rFonts w:ascii="Arial" w:hAnsi="Arial" w:cs="Arial"/>
          <w:sz w:val="22"/>
          <w:szCs w:val="22"/>
        </w:rPr>
        <w:t xml:space="preserve"> </w:t>
      </w:r>
      <w:r w:rsidR="008903DE">
        <w:rPr>
          <w:rFonts w:ascii="Arial" w:hAnsi="Arial" w:cs="Arial"/>
          <w:sz w:val="22"/>
          <w:szCs w:val="22"/>
        </w:rPr>
        <w:t>trois</w:t>
      </w:r>
      <w:r w:rsidRPr="00F263F4">
        <w:rPr>
          <w:rFonts w:ascii="Arial" w:hAnsi="Arial" w:cs="Arial"/>
          <w:sz w:val="22"/>
          <w:szCs w:val="22"/>
        </w:rPr>
        <w:t xml:space="preserve"> phases.</w:t>
      </w:r>
    </w:p>
    <w:p w:rsidR="00F263F4" w:rsidRPr="00F263F4" w:rsidRDefault="00F263F4" w:rsidP="00F263F4">
      <w:pPr>
        <w:autoSpaceDE w:val="0"/>
        <w:autoSpaceDN w:val="0"/>
        <w:adjustRightInd w:val="0"/>
        <w:ind w:left="1418"/>
        <w:jc w:val="both"/>
        <w:rPr>
          <w:rFonts w:ascii="Arial" w:hAnsi="Arial" w:cs="Arial"/>
          <w:sz w:val="22"/>
          <w:szCs w:val="22"/>
        </w:rPr>
      </w:pPr>
    </w:p>
    <w:p w:rsidR="00F263F4" w:rsidRPr="00F263F4" w:rsidRDefault="00F31505" w:rsidP="00F263F4">
      <w:pPr>
        <w:ind w:left="1418"/>
        <w:jc w:val="both"/>
        <w:rPr>
          <w:rFonts w:ascii="Arial" w:hAnsi="Arial" w:cs="Arial"/>
          <w:sz w:val="22"/>
          <w:szCs w:val="22"/>
        </w:rPr>
      </w:pPr>
      <w:r>
        <w:rPr>
          <w:rFonts w:ascii="Arial" w:hAnsi="Arial" w:cs="Arial"/>
          <w:sz w:val="22"/>
          <w:szCs w:val="22"/>
        </w:rPr>
        <w:t>Le seuil de</w:t>
      </w:r>
      <w:r w:rsidR="00F263F4" w:rsidRPr="00F263F4">
        <w:rPr>
          <w:rFonts w:ascii="Arial" w:hAnsi="Arial" w:cs="Arial"/>
          <w:sz w:val="22"/>
          <w:szCs w:val="22"/>
        </w:rPr>
        <w:t xml:space="preserve"> production de logements sociaux </w:t>
      </w:r>
      <w:r>
        <w:rPr>
          <w:rFonts w:ascii="Arial" w:hAnsi="Arial" w:cs="Arial"/>
          <w:sz w:val="22"/>
          <w:szCs w:val="22"/>
        </w:rPr>
        <w:t xml:space="preserve">prévu </w:t>
      </w:r>
      <w:r w:rsidR="00F263F4" w:rsidRPr="00F263F4">
        <w:rPr>
          <w:rFonts w:ascii="Arial" w:hAnsi="Arial" w:cs="Arial"/>
          <w:sz w:val="22"/>
          <w:szCs w:val="22"/>
        </w:rPr>
        <w:t>est de 40 %</w:t>
      </w:r>
      <w:r w:rsidR="00F263F4">
        <w:rPr>
          <w:rFonts w:ascii="Arial" w:hAnsi="Arial" w:cs="Arial"/>
          <w:sz w:val="22"/>
          <w:szCs w:val="22"/>
        </w:rPr>
        <w:t>,</w:t>
      </w:r>
      <w:r w:rsidR="00F263F4" w:rsidRPr="00F263F4">
        <w:rPr>
          <w:rFonts w:ascii="Arial" w:hAnsi="Arial" w:cs="Arial"/>
          <w:sz w:val="22"/>
          <w:szCs w:val="22"/>
        </w:rPr>
        <w:t xml:space="preserve"> soit 2</w:t>
      </w:r>
      <w:r w:rsidR="00F263F4">
        <w:rPr>
          <w:rFonts w:ascii="Arial" w:hAnsi="Arial" w:cs="Arial"/>
          <w:sz w:val="22"/>
          <w:szCs w:val="22"/>
        </w:rPr>
        <w:t xml:space="preserve"> </w:t>
      </w:r>
      <w:r w:rsidR="00F263F4" w:rsidRPr="00F263F4">
        <w:rPr>
          <w:rFonts w:ascii="Arial" w:hAnsi="Arial" w:cs="Arial"/>
          <w:sz w:val="22"/>
          <w:szCs w:val="22"/>
        </w:rPr>
        <w:t>400 m² de surface de plancher.</w:t>
      </w:r>
    </w:p>
    <w:p w:rsidR="00F263F4" w:rsidRDefault="00F263F4">
      <w:pPr>
        <w:ind w:left="1418"/>
        <w:jc w:val="both"/>
        <w:rPr>
          <w:rFonts w:ascii="Arial" w:hAnsi="Arial"/>
          <w:sz w:val="22"/>
        </w:rPr>
      </w:pPr>
    </w:p>
    <w:p w:rsidR="00ED5CDD" w:rsidRDefault="00ED5CDD" w:rsidP="00ED5CDD">
      <w:pPr>
        <w:autoSpaceDE w:val="0"/>
        <w:autoSpaceDN w:val="0"/>
        <w:adjustRightInd w:val="0"/>
        <w:ind w:left="1418"/>
        <w:jc w:val="both"/>
        <w:rPr>
          <w:rFonts w:ascii="Arial" w:hAnsi="Arial" w:cs="Arial"/>
          <w:sz w:val="22"/>
          <w:szCs w:val="22"/>
        </w:rPr>
      </w:pPr>
      <w:r w:rsidRPr="00ED5CDD">
        <w:rPr>
          <w:rFonts w:ascii="Arial" w:hAnsi="Arial" w:cs="Arial"/>
          <w:sz w:val="22"/>
          <w:szCs w:val="22"/>
        </w:rPr>
        <w:t>Préalablement à la signature du traité de concession, le dossier de création de la ZAC a été approuvé par</w:t>
      </w:r>
      <w:r>
        <w:rPr>
          <w:rFonts w:ascii="Arial" w:hAnsi="Arial" w:cs="Arial"/>
          <w:sz w:val="22"/>
          <w:szCs w:val="22"/>
        </w:rPr>
        <w:t xml:space="preserve"> </w:t>
      </w:r>
      <w:r w:rsidRPr="00ED5CDD">
        <w:rPr>
          <w:rFonts w:ascii="Arial" w:hAnsi="Arial" w:cs="Arial"/>
          <w:sz w:val="22"/>
          <w:szCs w:val="22"/>
        </w:rPr>
        <w:t>délibération du 16</w:t>
      </w:r>
      <w:r>
        <w:rPr>
          <w:rFonts w:ascii="Arial" w:hAnsi="Arial" w:cs="Arial"/>
          <w:sz w:val="22"/>
          <w:szCs w:val="22"/>
        </w:rPr>
        <w:t xml:space="preserve"> décembre </w:t>
      </w:r>
      <w:r w:rsidRPr="00ED5CDD">
        <w:rPr>
          <w:rFonts w:ascii="Arial" w:hAnsi="Arial" w:cs="Arial"/>
          <w:sz w:val="22"/>
          <w:szCs w:val="22"/>
        </w:rPr>
        <w:t>2010.</w:t>
      </w:r>
    </w:p>
    <w:p w:rsidR="00ED5CDD" w:rsidRDefault="00ED5CDD" w:rsidP="00ED5CDD">
      <w:pPr>
        <w:autoSpaceDE w:val="0"/>
        <w:autoSpaceDN w:val="0"/>
        <w:adjustRightInd w:val="0"/>
        <w:ind w:left="1418"/>
        <w:jc w:val="both"/>
        <w:rPr>
          <w:rFonts w:ascii="Arial" w:hAnsi="Arial" w:cs="Arial"/>
          <w:sz w:val="22"/>
          <w:szCs w:val="22"/>
        </w:rPr>
      </w:pPr>
    </w:p>
    <w:p w:rsidR="00F31505" w:rsidRDefault="00F31505" w:rsidP="00ED5CDD">
      <w:pPr>
        <w:autoSpaceDE w:val="0"/>
        <w:autoSpaceDN w:val="0"/>
        <w:adjustRightInd w:val="0"/>
        <w:ind w:left="1418"/>
        <w:jc w:val="both"/>
        <w:rPr>
          <w:rFonts w:ascii="Arial" w:hAnsi="Arial" w:cs="Arial"/>
          <w:sz w:val="22"/>
          <w:szCs w:val="22"/>
        </w:rPr>
      </w:pPr>
      <w:r>
        <w:rPr>
          <w:rFonts w:ascii="Arial" w:hAnsi="Arial" w:cs="Arial"/>
          <w:sz w:val="22"/>
          <w:szCs w:val="22"/>
        </w:rPr>
        <w:t xml:space="preserve">Les années 2013 et 2014 ayant donné lieu à une </w:t>
      </w:r>
      <w:proofErr w:type="spellStart"/>
      <w:r>
        <w:rPr>
          <w:rFonts w:ascii="Arial" w:hAnsi="Arial" w:cs="Arial"/>
          <w:sz w:val="22"/>
          <w:szCs w:val="22"/>
        </w:rPr>
        <w:t>rediscussion</w:t>
      </w:r>
      <w:proofErr w:type="spellEnd"/>
      <w:r>
        <w:rPr>
          <w:rFonts w:ascii="Arial" w:hAnsi="Arial" w:cs="Arial"/>
          <w:sz w:val="22"/>
          <w:szCs w:val="22"/>
        </w:rPr>
        <w:t xml:space="preserve"> sur la convention foncière avec l'EPORA ainsi que sur le montage du dossier de déclaration d'utilité publique (DUP) avec cette dernière et les services de l'Etat, l'opération n'a pas donné lieu à un compte-rendu d'activité. </w:t>
      </w:r>
    </w:p>
    <w:p w:rsidR="00F31505" w:rsidRDefault="00F31505" w:rsidP="00ED5CDD">
      <w:pPr>
        <w:autoSpaceDE w:val="0"/>
        <w:autoSpaceDN w:val="0"/>
        <w:adjustRightInd w:val="0"/>
        <w:ind w:left="1418"/>
        <w:jc w:val="both"/>
        <w:rPr>
          <w:rFonts w:ascii="Arial" w:hAnsi="Arial" w:cs="Arial"/>
          <w:sz w:val="22"/>
          <w:szCs w:val="22"/>
        </w:rPr>
      </w:pPr>
    </w:p>
    <w:p w:rsidR="00F31505" w:rsidRDefault="00F31505" w:rsidP="00ED5CDD">
      <w:pPr>
        <w:autoSpaceDE w:val="0"/>
        <w:autoSpaceDN w:val="0"/>
        <w:adjustRightInd w:val="0"/>
        <w:ind w:left="1418"/>
        <w:jc w:val="both"/>
        <w:rPr>
          <w:rFonts w:ascii="Arial" w:hAnsi="Arial" w:cs="Arial"/>
          <w:sz w:val="22"/>
          <w:szCs w:val="22"/>
        </w:rPr>
      </w:pPr>
    </w:p>
    <w:p w:rsidR="00F31505" w:rsidRDefault="00F31505" w:rsidP="00ED5CDD">
      <w:pPr>
        <w:autoSpaceDE w:val="0"/>
        <w:autoSpaceDN w:val="0"/>
        <w:adjustRightInd w:val="0"/>
        <w:ind w:left="1418"/>
        <w:jc w:val="both"/>
        <w:rPr>
          <w:rFonts w:ascii="Arial" w:hAnsi="Arial" w:cs="Arial"/>
          <w:sz w:val="22"/>
          <w:szCs w:val="22"/>
        </w:rPr>
      </w:pPr>
    </w:p>
    <w:p w:rsidR="00ED5CDD" w:rsidRPr="00ED5CDD" w:rsidRDefault="00ED5CDD" w:rsidP="00ED5CDD">
      <w:pPr>
        <w:autoSpaceDE w:val="0"/>
        <w:autoSpaceDN w:val="0"/>
        <w:adjustRightInd w:val="0"/>
        <w:ind w:left="1418"/>
        <w:jc w:val="both"/>
        <w:rPr>
          <w:rFonts w:ascii="Arial" w:hAnsi="Arial" w:cs="Arial"/>
          <w:sz w:val="22"/>
          <w:szCs w:val="22"/>
        </w:rPr>
      </w:pPr>
      <w:r w:rsidRPr="00ED5CDD">
        <w:rPr>
          <w:rFonts w:ascii="Arial" w:hAnsi="Arial" w:cs="Arial"/>
          <w:sz w:val="22"/>
          <w:szCs w:val="22"/>
        </w:rPr>
        <w:t>Le dossier de réalisation de ZAC définissant le programme des équipements publics et les éléments</w:t>
      </w:r>
      <w:r>
        <w:rPr>
          <w:rFonts w:ascii="Arial" w:hAnsi="Arial" w:cs="Arial"/>
          <w:sz w:val="22"/>
          <w:szCs w:val="22"/>
        </w:rPr>
        <w:t xml:space="preserve"> </w:t>
      </w:r>
      <w:r w:rsidRPr="00ED5CDD">
        <w:rPr>
          <w:rFonts w:ascii="Arial" w:hAnsi="Arial" w:cs="Arial"/>
          <w:sz w:val="22"/>
          <w:szCs w:val="22"/>
        </w:rPr>
        <w:t>financiers du projet sera élaboré en 2017-2018, conjointement aux travaux de libération des sols engagés</w:t>
      </w:r>
      <w:r>
        <w:rPr>
          <w:rFonts w:ascii="Arial" w:hAnsi="Arial" w:cs="Arial"/>
          <w:sz w:val="22"/>
          <w:szCs w:val="22"/>
        </w:rPr>
        <w:t xml:space="preserve"> </w:t>
      </w:r>
      <w:r w:rsidRPr="00ED5CDD">
        <w:rPr>
          <w:rFonts w:ascii="Arial" w:hAnsi="Arial" w:cs="Arial"/>
          <w:sz w:val="22"/>
          <w:szCs w:val="22"/>
        </w:rPr>
        <w:t xml:space="preserve">par </w:t>
      </w:r>
      <w:r>
        <w:rPr>
          <w:rFonts w:ascii="Arial" w:hAnsi="Arial" w:cs="Arial"/>
          <w:sz w:val="22"/>
          <w:szCs w:val="22"/>
        </w:rPr>
        <w:t>l'EPORA (Etablissement public foncier de l'ouest Rhône-Alpes).</w:t>
      </w:r>
    </w:p>
    <w:p w:rsidR="00ED5CDD" w:rsidRPr="00ED5CDD" w:rsidRDefault="00ED5CDD" w:rsidP="00ED5CDD">
      <w:pPr>
        <w:ind w:left="1418"/>
        <w:jc w:val="both"/>
        <w:rPr>
          <w:rFonts w:ascii="Arial" w:hAnsi="Arial" w:cs="Arial"/>
          <w:sz w:val="22"/>
          <w:szCs w:val="22"/>
        </w:rPr>
      </w:pPr>
    </w:p>
    <w:p w:rsidR="00ED5CDD" w:rsidRPr="00ED5CDD" w:rsidRDefault="00F31505" w:rsidP="00ED5CDD">
      <w:pPr>
        <w:autoSpaceDE w:val="0"/>
        <w:autoSpaceDN w:val="0"/>
        <w:adjustRightInd w:val="0"/>
        <w:ind w:left="1418"/>
        <w:jc w:val="both"/>
        <w:rPr>
          <w:rFonts w:ascii="Arial" w:hAnsi="Arial" w:cs="Arial"/>
          <w:sz w:val="22"/>
          <w:szCs w:val="22"/>
        </w:rPr>
      </w:pPr>
      <w:r>
        <w:rPr>
          <w:rFonts w:ascii="Arial" w:hAnsi="Arial" w:cs="Arial"/>
          <w:sz w:val="22"/>
          <w:szCs w:val="22"/>
        </w:rPr>
        <w:t>A ce jour et d</w:t>
      </w:r>
      <w:r w:rsidR="00ED5CDD" w:rsidRPr="00ED5CDD">
        <w:rPr>
          <w:rFonts w:ascii="Arial" w:hAnsi="Arial" w:cs="Arial"/>
          <w:sz w:val="22"/>
          <w:szCs w:val="22"/>
        </w:rPr>
        <w:t xml:space="preserve">ans le cadre de la convention </w:t>
      </w:r>
      <w:r>
        <w:rPr>
          <w:rFonts w:ascii="Arial" w:hAnsi="Arial" w:cs="Arial"/>
          <w:sz w:val="22"/>
          <w:szCs w:val="22"/>
        </w:rPr>
        <w:t>précitée</w:t>
      </w:r>
      <w:r w:rsidRPr="00ED5CDD">
        <w:rPr>
          <w:rFonts w:ascii="Arial" w:hAnsi="Arial" w:cs="Arial"/>
          <w:sz w:val="22"/>
          <w:szCs w:val="22"/>
        </w:rPr>
        <w:t xml:space="preserve"> </w:t>
      </w:r>
      <w:r w:rsidR="00ED5CDD" w:rsidRPr="00ED5CDD">
        <w:rPr>
          <w:rFonts w:ascii="Arial" w:hAnsi="Arial" w:cs="Arial"/>
          <w:sz w:val="22"/>
          <w:szCs w:val="22"/>
        </w:rPr>
        <w:t xml:space="preserve">de requalification foncière signée entre la </w:t>
      </w:r>
      <w:r w:rsidR="00ED5CDD">
        <w:rPr>
          <w:rFonts w:ascii="Arial" w:hAnsi="Arial" w:cs="Arial"/>
          <w:sz w:val="22"/>
          <w:szCs w:val="22"/>
        </w:rPr>
        <w:t>v</w:t>
      </w:r>
      <w:r w:rsidR="00ED5CDD" w:rsidRPr="00ED5CDD">
        <w:rPr>
          <w:rFonts w:ascii="Arial" w:hAnsi="Arial" w:cs="Arial"/>
          <w:sz w:val="22"/>
          <w:szCs w:val="22"/>
        </w:rPr>
        <w:t xml:space="preserve">ille de Riorges et </w:t>
      </w:r>
      <w:r w:rsidR="00ED5CDD">
        <w:rPr>
          <w:rFonts w:ascii="Arial" w:hAnsi="Arial" w:cs="Arial"/>
          <w:sz w:val="22"/>
          <w:szCs w:val="22"/>
        </w:rPr>
        <w:t>l'</w:t>
      </w:r>
      <w:r w:rsidR="00ED5CDD" w:rsidRPr="00ED5CDD">
        <w:rPr>
          <w:rFonts w:ascii="Arial" w:hAnsi="Arial" w:cs="Arial"/>
          <w:sz w:val="22"/>
          <w:szCs w:val="22"/>
        </w:rPr>
        <w:t xml:space="preserve">EPORA, </w:t>
      </w:r>
      <w:r w:rsidR="00ED5CDD">
        <w:rPr>
          <w:rFonts w:ascii="Arial" w:hAnsi="Arial" w:cs="Arial"/>
          <w:sz w:val="22"/>
          <w:szCs w:val="22"/>
        </w:rPr>
        <w:t xml:space="preserve">ce dernier </w:t>
      </w:r>
      <w:r>
        <w:rPr>
          <w:rFonts w:ascii="Arial" w:hAnsi="Arial" w:cs="Arial"/>
          <w:sz w:val="22"/>
          <w:szCs w:val="22"/>
        </w:rPr>
        <w:t>est donc</w:t>
      </w:r>
      <w:r w:rsidR="00ED5CDD" w:rsidRPr="00ED5CDD">
        <w:rPr>
          <w:rFonts w:ascii="Arial" w:hAnsi="Arial" w:cs="Arial"/>
          <w:sz w:val="22"/>
          <w:szCs w:val="22"/>
        </w:rPr>
        <w:t xml:space="preserve"> chargé de l’acquisition du foncier et à ce titre </w:t>
      </w:r>
      <w:r w:rsidR="008903DE">
        <w:rPr>
          <w:rFonts w:ascii="Arial" w:hAnsi="Arial" w:cs="Arial"/>
          <w:sz w:val="22"/>
          <w:szCs w:val="22"/>
        </w:rPr>
        <w:t xml:space="preserve">est </w:t>
      </w:r>
      <w:r w:rsidR="00ED5CDD" w:rsidRPr="00ED5CDD">
        <w:rPr>
          <w:rFonts w:ascii="Arial" w:hAnsi="Arial" w:cs="Arial"/>
          <w:sz w:val="22"/>
          <w:szCs w:val="22"/>
        </w:rPr>
        <w:t xml:space="preserve">titulaire de la </w:t>
      </w:r>
      <w:r w:rsidR="00ED5CDD">
        <w:rPr>
          <w:rFonts w:ascii="Arial" w:hAnsi="Arial" w:cs="Arial"/>
          <w:sz w:val="22"/>
          <w:szCs w:val="22"/>
        </w:rPr>
        <w:t>déclaration d'utilité publique (DUP)</w:t>
      </w:r>
      <w:r w:rsidR="00ED5CDD" w:rsidRPr="00ED5CDD">
        <w:rPr>
          <w:rFonts w:ascii="Arial" w:hAnsi="Arial" w:cs="Arial"/>
          <w:sz w:val="22"/>
          <w:szCs w:val="22"/>
        </w:rPr>
        <w:t>.</w:t>
      </w:r>
      <w:r w:rsidR="00ED5CDD">
        <w:rPr>
          <w:rFonts w:ascii="Arial" w:hAnsi="Arial" w:cs="Arial"/>
          <w:sz w:val="22"/>
          <w:szCs w:val="22"/>
        </w:rPr>
        <w:t xml:space="preserve"> </w:t>
      </w:r>
      <w:r w:rsidR="008903DE">
        <w:rPr>
          <w:rFonts w:ascii="Arial" w:hAnsi="Arial" w:cs="Arial"/>
          <w:sz w:val="22"/>
          <w:szCs w:val="22"/>
        </w:rPr>
        <w:t>L</w:t>
      </w:r>
      <w:r w:rsidR="008903DE" w:rsidRPr="00ED5CDD">
        <w:rPr>
          <w:rFonts w:ascii="Arial" w:hAnsi="Arial" w:cs="Arial"/>
          <w:sz w:val="22"/>
          <w:szCs w:val="22"/>
        </w:rPr>
        <w:t>’arrêté de DUP a été pris le 9 juin 2016</w:t>
      </w:r>
      <w:r w:rsidR="008903DE">
        <w:rPr>
          <w:rFonts w:ascii="Arial" w:hAnsi="Arial" w:cs="Arial"/>
          <w:sz w:val="22"/>
          <w:szCs w:val="22"/>
        </w:rPr>
        <w:t xml:space="preserve"> et </w:t>
      </w:r>
      <w:r w:rsidR="008028AF">
        <w:rPr>
          <w:rFonts w:ascii="Arial" w:hAnsi="Arial" w:cs="Arial"/>
          <w:sz w:val="22"/>
          <w:szCs w:val="22"/>
        </w:rPr>
        <w:t>aujourd'hui</w:t>
      </w:r>
      <w:r w:rsidR="00ED5CDD">
        <w:rPr>
          <w:rFonts w:ascii="Arial" w:hAnsi="Arial" w:cs="Arial"/>
          <w:sz w:val="22"/>
          <w:szCs w:val="22"/>
        </w:rPr>
        <w:t>,</w:t>
      </w:r>
      <w:r w:rsidR="00ED5CDD" w:rsidRPr="00ED5CDD">
        <w:rPr>
          <w:rFonts w:ascii="Arial" w:hAnsi="Arial" w:cs="Arial"/>
          <w:sz w:val="22"/>
          <w:szCs w:val="22"/>
        </w:rPr>
        <w:t xml:space="preserve"> </w:t>
      </w:r>
      <w:r w:rsidR="00ED5CDD">
        <w:rPr>
          <w:rFonts w:ascii="Arial" w:hAnsi="Arial" w:cs="Arial"/>
          <w:sz w:val="22"/>
          <w:szCs w:val="22"/>
        </w:rPr>
        <w:t>l'</w:t>
      </w:r>
      <w:r w:rsidR="00ED5CDD" w:rsidRPr="00ED5CDD">
        <w:rPr>
          <w:rFonts w:ascii="Arial" w:hAnsi="Arial" w:cs="Arial"/>
          <w:sz w:val="22"/>
          <w:szCs w:val="22"/>
        </w:rPr>
        <w:t>EPORA est déjà propriétaire de biens.</w:t>
      </w:r>
      <w:r w:rsidR="00ED5CDD">
        <w:rPr>
          <w:rFonts w:ascii="Arial" w:hAnsi="Arial" w:cs="Arial"/>
          <w:sz w:val="22"/>
          <w:szCs w:val="22"/>
        </w:rPr>
        <w:t xml:space="preserve"> </w:t>
      </w:r>
      <w:r w:rsidR="00ED5CDD" w:rsidRPr="00ED5CDD">
        <w:rPr>
          <w:rFonts w:ascii="Arial" w:hAnsi="Arial" w:cs="Arial"/>
          <w:sz w:val="22"/>
          <w:szCs w:val="22"/>
        </w:rPr>
        <w:t xml:space="preserve">Conformément à l’article 16 de la convention de concession, la SEDL a vocation à se substituer à la </w:t>
      </w:r>
      <w:r w:rsidR="00ED5CDD">
        <w:rPr>
          <w:rFonts w:ascii="Arial" w:hAnsi="Arial" w:cs="Arial"/>
          <w:sz w:val="22"/>
          <w:szCs w:val="22"/>
        </w:rPr>
        <w:t>v</w:t>
      </w:r>
      <w:r w:rsidR="00ED5CDD" w:rsidRPr="00ED5CDD">
        <w:rPr>
          <w:rFonts w:ascii="Arial" w:hAnsi="Arial" w:cs="Arial"/>
          <w:sz w:val="22"/>
          <w:szCs w:val="22"/>
        </w:rPr>
        <w:t>ille de</w:t>
      </w:r>
      <w:r w:rsidR="00ED5CDD">
        <w:rPr>
          <w:rFonts w:ascii="Arial" w:hAnsi="Arial" w:cs="Arial"/>
          <w:sz w:val="22"/>
          <w:szCs w:val="22"/>
        </w:rPr>
        <w:t xml:space="preserve"> </w:t>
      </w:r>
      <w:r w:rsidR="00ED5CDD" w:rsidRPr="00ED5CDD">
        <w:rPr>
          <w:rFonts w:ascii="Arial" w:hAnsi="Arial" w:cs="Arial"/>
          <w:sz w:val="22"/>
          <w:szCs w:val="22"/>
        </w:rPr>
        <w:t>Riorges pour les acquisitions foncières auprès de l’EPORA.</w:t>
      </w:r>
    </w:p>
    <w:p w:rsidR="00ED5CDD" w:rsidRDefault="00ED5CDD">
      <w:pPr>
        <w:ind w:left="1418"/>
        <w:jc w:val="both"/>
        <w:rPr>
          <w:rFonts w:ascii="Arial" w:hAnsi="Arial"/>
          <w:sz w:val="22"/>
        </w:rPr>
      </w:pPr>
    </w:p>
    <w:p w:rsidR="00ED5CDD" w:rsidRDefault="00ED5CDD">
      <w:pPr>
        <w:ind w:left="1418"/>
        <w:jc w:val="both"/>
        <w:rPr>
          <w:rFonts w:ascii="Arial" w:hAnsi="Arial"/>
          <w:sz w:val="22"/>
        </w:rPr>
      </w:pPr>
      <w:r>
        <w:rPr>
          <w:rFonts w:ascii="Arial" w:hAnsi="Arial"/>
          <w:sz w:val="22"/>
        </w:rPr>
        <w:t xml:space="preserve">Au 31 décembre 2015, le total des recettes de l'opération s'élevait à 40 000 €, correspondant </w:t>
      </w:r>
      <w:r w:rsidR="00C56AAA">
        <w:rPr>
          <w:rFonts w:ascii="Arial" w:hAnsi="Arial"/>
          <w:sz w:val="22"/>
        </w:rPr>
        <w:t>aux participations versées</w:t>
      </w:r>
      <w:r>
        <w:rPr>
          <w:rFonts w:ascii="Arial" w:hAnsi="Arial"/>
          <w:sz w:val="22"/>
        </w:rPr>
        <w:t xml:space="preserve"> par la commune.</w:t>
      </w:r>
    </w:p>
    <w:p w:rsidR="00ED5CDD" w:rsidRDefault="00ED5CDD">
      <w:pPr>
        <w:ind w:left="1418"/>
        <w:jc w:val="both"/>
        <w:rPr>
          <w:rFonts w:ascii="Arial" w:hAnsi="Arial"/>
          <w:sz w:val="22"/>
        </w:rPr>
      </w:pPr>
      <w:r>
        <w:rPr>
          <w:rFonts w:ascii="Arial" w:hAnsi="Arial"/>
          <w:sz w:val="22"/>
        </w:rPr>
        <w:t>En parallèle, les dépenses de l'opération s'élèvent à 37 528 €, correspondant essentiellement aux rémunérations de l'opérateur (suivi administratif et financier, coordination des acteurs et concertation) depuis l'année 2013.</w:t>
      </w:r>
    </w:p>
    <w:p w:rsidR="0086369A" w:rsidRDefault="0086369A">
      <w:pPr>
        <w:ind w:left="1418"/>
        <w:jc w:val="both"/>
        <w:rPr>
          <w:rFonts w:ascii="Arial" w:hAnsi="Arial"/>
          <w:sz w:val="22"/>
        </w:rPr>
      </w:pPr>
      <w:r>
        <w:rPr>
          <w:rFonts w:ascii="Arial" w:hAnsi="Arial"/>
          <w:sz w:val="22"/>
        </w:rPr>
        <w:t>A cette date, la trésorerie de l'opération est de 2 474 €.</w:t>
      </w:r>
    </w:p>
    <w:p w:rsidR="0086369A" w:rsidRDefault="0086369A">
      <w:pPr>
        <w:ind w:left="1418"/>
        <w:jc w:val="both"/>
        <w:rPr>
          <w:rFonts w:ascii="Arial" w:hAnsi="Arial"/>
          <w:sz w:val="22"/>
        </w:rPr>
      </w:pPr>
    </w:p>
    <w:p w:rsidR="00ED5CDD" w:rsidRDefault="00ED5CDD">
      <w:pPr>
        <w:ind w:left="1418"/>
        <w:jc w:val="both"/>
        <w:rPr>
          <w:rFonts w:ascii="Arial" w:hAnsi="Arial"/>
          <w:sz w:val="22"/>
        </w:rPr>
      </w:pPr>
      <w:r>
        <w:rPr>
          <w:rFonts w:ascii="Arial" w:hAnsi="Arial"/>
          <w:sz w:val="22"/>
        </w:rPr>
        <w:t>Les prévisions permettent d'établir des recettes sur l'ensemble du p</w:t>
      </w:r>
      <w:r w:rsidR="001546D3">
        <w:rPr>
          <w:rFonts w:ascii="Arial" w:hAnsi="Arial"/>
          <w:sz w:val="22"/>
        </w:rPr>
        <w:t xml:space="preserve">rojet, à hauteur de 3 </w:t>
      </w:r>
      <w:r w:rsidR="0086369A">
        <w:rPr>
          <w:rFonts w:ascii="Arial" w:hAnsi="Arial"/>
          <w:sz w:val="22"/>
        </w:rPr>
        <w:t>940 753</w:t>
      </w:r>
      <w:r w:rsidR="001546D3">
        <w:rPr>
          <w:rFonts w:ascii="Arial" w:hAnsi="Arial"/>
          <w:sz w:val="22"/>
        </w:rPr>
        <w:t xml:space="preserve"> €</w:t>
      </w:r>
      <w:r w:rsidR="0086369A">
        <w:rPr>
          <w:rFonts w:ascii="Arial" w:hAnsi="Arial"/>
          <w:sz w:val="22"/>
        </w:rPr>
        <w:t xml:space="preserve"> (chiffre arrondi)</w:t>
      </w:r>
      <w:r>
        <w:rPr>
          <w:rFonts w:ascii="Arial" w:hAnsi="Arial"/>
          <w:sz w:val="22"/>
        </w:rPr>
        <w:t>. Elles sont réparties de la manière suivante :</w:t>
      </w:r>
    </w:p>
    <w:p w:rsidR="00ED5CDD" w:rsidRDefault="00ED5CDD" w:rsidP="00ED5CDD">
      <w:pPr>
        <w:tabs>
          <w:tab w:val="left" w:pos="6521"/>
          <w:tab w:val="right" w:pos="7938"/>
        </w:tabs>
        <w:spacing w:before="80"/>
        <w:ind w:left="1418"/>
        <w:jc w:val="both"/>
        <w:rPr>
          <w:rFonts w:ascii="Arial" w:hAnsi="Arial"/>
          <w:sz w:val="22"/>
        </w:rPr>
      </w:pPr>
      <w:r>
        <w:rPr>
          <w:rFonts w:ascii="Arial" w:hAnsi="Arial"/>
          <w:sz w:val="22"/>
        </w:rPr>
        <w:t xml:space="preserve">- cessions de charges foncières estimées à </w:t>
      </w:r>
      <w:r>
        <w:rPr>
          <w:rFonts w:ascii="Arial" w:hAnsi="Arial"/>
          <w:sz w:val="22"/>
        </w:rPr>
        <w:tab/>
        <w:t>:</w:t>
      </w:r>
      <w:r>
        <w:rPr>
          <w:rFonts w:ascii="Arial" w:hAnsi="Arial"/>
          <w:sz w:val="22"/>
        </w:rPr>
        <w:tab/>
        <w:t>947 200 €</w:t>
      </w:r>
    </w:p>
    <w:p w:rsidR="00ED5CDD" w:rsidRDefault="00ED5CDD" w:rsidP="00ED5CDD">
      <w:pPr>
        <w:tabs>
          <w:tab w:val="left" w:pos="6521"/>
          <w:tab w:val="right" w:pos="7938"/>
        </w:tabs>
        <w:spacing w:before="80"/>
        <w:ind w:left="1418"/>
        <w:jc w:val="both"/>
        <w:rPr>
          <w:rFonts w:ascii="Arial" w:hAnsi="Arial"/>
          <w:sz w:val="22"/>
        </w:rPr>
      </w:pPr>
      <w:r>
        <w:rPr>
          <w:rFonts w:ascii="Arial" w:hAnsi="Arial"/>
          <w:sz w:val="22"/>
        </w:rPr>
        <w:t xml:space="preserve">- participation d'équilibre du concédant </w:t>
      </w:r>
      <w:r>
        <w:rPr>
          <w:rFonts w:ascii="Arial" w:hAnsi="Arial"/>
          <w:sz w:val="22"/>
        </w:rPr>
        <w:tab/>
        <w:t>:</w:t>
      </w:r>
      <w:r>
        <w:rPr>
          <w:rFonts w:ascii="Arial" w:hAnsi="Arial"/>
          <w:sz w:val="22"/>
        </w:rPr>
        <w:tab/>
        <w:t xml:space="preserve">1 </w:t>
      </w:r>
      <w:r w:rsidR="00F31505">
        <w:rPr>
          <w:rFonts w:ascii="Arial" w:hAnsi="Arial"/>
          <w:sz w:val="22"/>
        </w:rPr>
        <w:t>626</w:t>
      </w:r>
      <w:r>
        <w:rPr>
          <w:rFonts w:ascii="Arial" w:hAnsi="Arial"/>
          <w:sz w:val="22"/>
        </w:rPr>
        <w:t xml:space="preserve"> </w:t>
      </w:r>
      <w:r w:rsidR="00F31505">
        <w:rPr>
          <w:rFonts w:ascii="Arial" w:hAnsi="Arial"/>
          <w:sz w:val="22"/>
        </w:rPr>
        <w:t>551</w:t>
      </w:r>
      <w:r>
        <w:rPr>
          <w:rFonts w:ascii="Arial" w:hAnsi="Arial"/>
          <w:sz w:val="22"/>
        </w:rPr>
        <w:t xml:space="preserve"> €</w:t>
      </w:r>
    </w:p>
    <w:p w:rsidR="00ED5CDD" w:rsidRDefault="00ED5CDD" w:rsidP="00ED5CDD">
      <w:pPr>
        <w:tabs>
          <w:tab w:val="left" w:pos="6521"/>
          <w:tab w:val="right" w:pos="7938"/>
        </w:tabs>
        <w:spacing w:before="80"/>
        <w:ind w:left="1418"/>
        <w:jc w:val="both"/>
        <w:rPr>
          <w:rFonts w:ascii="Arial" w:hAnsi="Arial"/>
          <w:sz w:val="22"/>
        </w:rPr>
      </w:pPr>
      <w:r>
        <w:rPr>
          <w:rFonts w:ascii="Arial" w:hAnsi="Arial"/>
          <w:sz w:val="22"/>
        </w:rPr>
        <w:t xml:space="preserve">- participation du concédant à la remise d'ouvrages </w:t>
      </w:r>
      <w:r>
        <w:rPr>
          <w:rFonts w:ascii="Arial" w:hAnsi="Arial"/>
          <w:sz w:val="22"/>
        </w:rPr>
        <w:tab/>
        <w:t xml:space="preserve">: </w:t>
      </w:r>
      <w:r>
        <w:rPr>
          <w:rFonts w:ascii="Arial" w:hAnsi="Arial"/>
          <w:sz w:val="22"/>
        </w:rPr>
        <w:tab/>
      </w:r>
      <w:r w:rsidR="00F31505">
        <w:rPr>
          <w:rFonts w:ascii="Arial" w:hAnsi="Arial"/>
          <w:sz w:val="22"/>
        </w:rPr>
        <w:t>800</w:t>
      </w:r>
      <w:r>
        <w:rPr>
          <w:rFonts w:ascii="Arial" w:hAnsi="Arial"/>
          <w:sz w:val="22"/>
        </w:rPr>
        <w:t xml:space="preserve"> 000 €</w:t>
      </w:r>
    </w:p>
    <w:p w:rsidR="00ED5CDD" w:rsidRDefault="00ED5CDD" w:rsidP="00ED5CDD">
      <w:pPr>
        <w:tabs>
          <w:tab w:val="left" w:pos="6521"/>
          <w:tab w:val="right" w:pos="7938"/>
        </w:tabs>
        <w:spacing w:before="80"/>
        <w:ind w:left="1418"/>
        <w:jc w:val="both"/>
        <w:rPr>
          <w:rFonts w:ascii="Arial" w:hAnsi="Arial"/>
          <w:sz w:val="22"/>
        </w:rPr>
      </w:pPr>
      <w:r>
        <w:rPr>
          <w:rFonts w:ascii="Arial" w:hAnsi="Arial"/>
          <w:sz w:val="22"/>
        </w:rPr>
        <w:t xml:space="preserve">- apport du foncier en nature </w:t>
      </w:r>
      <w:r>
        <w:rPr>
          <w:rFonts w:ascii="Arial" w:hAnsi="Arial"/>
          <w:sz w:val="22"/>
        </w:rPr>
        <w:tab/>
        <w:t>:</w:t>
      </w:r>
      <w:r>
        <w:rPr>
          <w:rFonts w:ascii="Arial" w:hAnsi="Arial"/>
          <w:sz w:val="22"/>
        </w:rPr>
        <w:tab/>
      </w:r>
      <w:r w:rsidR="0086369A">
        <w:rPr>
          <w:rFonts w:ascii="Arial" w:hAnsi="Arial"/>
          <w:sz w:val="22"/>
        </w:rPr>
        <w:t>567</w:t>
      </w:r>
      <w:r>
        <w:rPr>
          <w:rFonts w:ascii="Arial" w:hAnsi="Arial"/>
          <w:sz w:val="22"/>
        </w:rPr>
        <w:t xml:space="preserve"> 000 €</w:t>
      </w:r>
    </w:p>
    <w:p w:rsidR="00ED5CDD" w:rsidRDefault="00ED5CDD">
      <w:pPr>
        <w:ind w:left="1418"/>
        <w:jc w:val="both"/>
        <w:rPr>
          <w:rFonts w:ascii="Arial" w:hAnsi="Arial"/>
          <w:sz w:val="18"/>
          <w:szCs w:val="18"/>
        </w:rPr>
      </w:pPr>
      <w:r>
        <w:rPr>
          <w:rFonts w:ascii="Arial" w:hAnsi="Arial"/>
          <w:sz w:val="22"/>
        </w:rPr>
        <w:t xml:space="preserve">  </w:t>
      </w:r>
      <w:r w:rsidRPr="00ED5CDD">
        <w:rPr>
          <w:rFonts w:ascii="Arial" w:hAnsi="Arial"/>
          <w:sz w:val="18"/>
          <w:szCs w:val="18"/>
        </w:rPr>
        <w:t>(soit le prix d'acquisition de biens antérieurement acquis</w:t>
      </w:r>
    </w:p>
    <w:p w:rsidR="00ED5CDD" w:rsidRPr="00ED5CDD" w:rsidRDefault="00ED5CDD">
      <w:pPr>
        <w:ind w:left="1418"/>
        <w:jc w:val="both"/>
        <w:rPr>
          <w:rFonts w:ascii="Arial" w:hAnsi="Arial"/>
          <w:sz w:val="18"/>
          <w:szCs w:val="18"/>
        </w:rPr>
      </w:pPr>
      <w:r>
        <w:rPr>
          <w:rFonts w:ascii="Arial" w:hAnsi="Arial"/>
          <w:sz w:val="18"/>
          <w:szCs w:val="18"/>
        </w:rPr>
        <w:t xml:space="preserve">    </w:t>
      </w:r>
      <w:r w:rsidRPr="00ED5CDD">
        <w:rPr>
          <w:rFonts w:ascii="Arial" w:hAnsi="Arial"/>
          <w:sz w:val="18"/>
          <w:szCs w:val="18"/>
        </w:rPr>
        <w:t>par la commune)</w:t>
      </w:r>
    </w:p>
    <w:p w:rsidR="00ED5CDD" w:rsidRDefault="00ED5CDD">
      <w:pPr>
        <w:ind w:left="1418"/>
        <w:jc w:val="both"/>
        <w:rPr>
          <w:rFonts w:ascii="Arial" w:hAnsi="Arial"/>
          <w:sz w:val="22"/>
        </w:rPr>
      </w:pPr>
    </w:p>
    <w:p w:rsidR="001546D3" w:rsidRDefault="001546D3" w:rsidP="001546D3">
      <w:pPr>
        <w:ind w:left="1418"/>
        <w:jc w:val="both"/>
        <w:rPr>
          <w:rFonts w:ascii="Arial" w:hAnsi="Arial"/>
          <w:sz w:val="22"/>
        </w:rPr>
      </w:pPr>
      <w:r>
        <w:rPr>
          <w:rFonts w:ascii="Arial" w:hAnsi="Arial"/>
          <w:sz w:val="22"/>
        </w:rPr>
        <w:t xml:space="preserve">Les dépenses font ressortir </w:t>
      </w:r>
      <w:r w:rsidRPr="001546D3">
        <w:rPr>
          <w:rFonts w:ascii="Arial" w:hAnsi="Arial"/>
          <w:sz w:val="22"/>
        </w:rPr>
        <w:t>un montant d'études pré opérationnelles estimé à 2</w:t>
      </w:r>
      <w:r w:rsidR="00D00AB1">
        <w:rPr>
          <w:rFonts w:ascii="Arial" w:hAnsi="Arial"/>
          <w:sz w:val="22"/>
        </w:rPr>
        <w:t>1</w:t>
      </w:r>
      <w:r w:rsidRPr="001546D3">
        <w:rPr>
          <w:rFonts w:ascii="Arial" w:hAnsi="Arial"/>
          <w:sz w:val="22"/>
        </w:rPr>
        <w:t> </w:t>
      </w:r>
      <w:r w:rsidR="00D00AB1">
        <w:rPr>
          <w:rFonts w:ascii="Arial" w:hAnsi="Arial"/>
          <w:sz w:val="22"/>
        </w:rPr>
        <w:t>1</w:t>
      </w:r>
      <w:r w:rsidR="006338F8">
        <w:rPr>
          <w:rFonts w:ascii="Arial" w:hAnsi="Arial"/>
          <w:sz w:val="22"/>
        </w:rPr>
        <w:t>8</w:t>
      </w:r>
      <w:r w:rsidR="00D00AB1">
        <w:rPr>
          <w:rFonts w:ascii="Arial" w:hAnsi="Arial"/>
          <w:sz w:val="22"/>
        </w:rPr>
        <w:t>5</w:t>
      </w:r>
      <w:r w:rsidRPr="001546D3">
        <w:rPr>
          <w:rFonts w:ascii="Arial" w:hAnsi="Arial"/>
          <w:sz w:val="22"/>
        </w:rPr>
        <w:t> €</w:t>
      </w:r>
      <w:r>
        <w:rPr>
          <w:rFonts w:ascii="Arial" w:hAnsi="Arial"/>
          <w:sz w:val="22"/>
        </w:rPr>
        <w:t>.</w:t>
      </w:r>
    </w:p>
    <w:p w:rsidR="001546D3" w:rsidRDefault="001546D3" w:rsidP="001546D3">
      <w:pPr>
        <w:ind w:left="1418"/>
        <w:jc w:val="both"/>
        <w:rPr>
          <w:rFonts w:ascii="Arial" w:hAnsi="Arial"/>
          <w:sz w:val="22"/>
        </w:rPr>
      </w:pPr>
      <w:r>
        <w:rPr>
          <w:rFonts w:ascii="Arial" w:hAnsi="Arial"/>
          <w:sz w:val="22"/>
        </w:rPr>
        <w:t>L</w:t>
      </w:r>
      <w:r w:rsidRPr="001546D3">
        <w:rPr>
          <w:rFonts w:ascii="Arial" w:hAnsi="Arial"/>
          <w:sz w:val="22"/>
        </w:rPr>
        <w:t>es acquisitions, qui intègrent le paiement direct du prix du foncier à l'EPORA</w:t>
      </w:r>
      <w:r>
        <w:rPr>
          <w:rFonts w:ascii="Arial" w:hAnsi="Arial"/>
          <w:sz w:val="22"/>
        </w:rPr>
        <w:t>,</w:t>
      </w:r>
      <w:r w:rsidRPr="001546D3">
        <w:rPr>
          <w:rFonts w:ascii="Arial" w:hAnsi="Arial"/>
          <w:sz w:val="22"/>
        </w:rPr>
        <w:t xml:space="preserve"> </w:t>
      </w:r>
      <w:r>
        <w:rPr>
          <w:rFonts w:ascii="Arial" w:hAnsi="Arial"/>
          <w:sz w:val="22"/>
        </w:rPr>
        <w:t xml:space="preserve">s'élèvent à </w:t>
      </w:r>
      <w:r w:rsidR="0086369A">
        <w:rPr>
          <w:rFonts w:ascii="Arial" w:hAnsi="Arial"/>
          <w:sz w:val="22"/>
        </w:rPr>
        <w:t>2 197 550</w:t>
      </w:r>
      <w:r w:rsidRPr="001546D3">
        <w:rPr>
          <w:rFonts w:ascii="Arial" w:hAnsi="Arial"/>
          <w:sz w:val="22"/>
        </w:rPr>
        <w:t xml:space="preserve"> €</w:t>
      </w:r>
      <w:r>
        <w:rPr>
          <w:rFonts w:ascii="Arial" w:hAnsi="Arial"/>
          <w:sz w:val="22"/>
        </w:rPr>
        <w:t>.</w:t>
      </w:r>
    </w:p>
    <w:p w:rsidR="001546D3" w:rsidRDefault="001546D3" w:rsidP="001546D3">
      <w:pPr>
        <w:ind w:left="1418"/>
        <w:jc w:val="both"/>
        <w:rPr>
          <w:rFonts w:ascii="Arial" w:hAnsi="Arial"/>
          <w:sz w:val="22"/>
        </w:rPr>
      </w:pPr>
      <w:r>
        <w:rPr>
          <w:rFonts w:ascii="Arial" w:hAnsi="Arial"/>
          <w:sz w:val="22"/>
        </w:rPr>
        <w:t>Le montant prévisionnel des dépenses de travaux devrait être de 760 000 €.</w:t>
      </w:r>
    </w:p>
    <w:p w:rsidR="00ED5CDD" w:rsidRDefault="001546D3" w:rsidP="001546D3">
      <w:pPr>
        <w:ind w:left="1418"/>
        <w:jc w:val="both"/>
        <w:rPr>
          <w:rFonts w:ascii="Arial" w:hAnsi="Arial"/>
          <w:sz w:val="22"/>
        </w:rPr>
      </w:pPr>
      <w:r>
        <w:rPr>
          <w:rFonts w:ascii="Arial" w:hAnsi="Arial"/>
          <w:sz w:val="22"/>
        </w:rPr>
        <w:t xml:space="preserve">Les honoraires (maîtrise d'œuvre, VRD et hydraulique, contrôle technique, etc.) sont estimés à </w:t>
      </w:r>
      <w:r w:rsidR="00D00AB1">
        <w:rPr>
          <w:rFonts w:ascii="Arial" w:hAnsi="Arial"/>
          <w:sz w:val="22"/>
        </w:rPr>
        <w:t>9</w:t>
      </w:r>
      <w:r>
        <w:rPr>
          <w:rFonts w:ascii="Arial" w:hAnsi="Arial"/>
          <w:sz w:val="22"/>
        </w:rPr>
        <w:t xml:space="preserve">8 400 €. </w:t>
      </w:r>
    </w:p>
    <w:p w:rsidR="001546D3" w:rsidRPr="001546D3" w:rsidRDefault="001546D3" w:rsidP="001546D3">
      <w:pPr>
        <w:ind w:left="1418"/>
        <w:jc w:val="both"/>
        <w:rPr>
          <w:rFonts w:ascii="Arial" w:hAnsi="Arial"/>
          <w:sz w:val="22"/>
        </w:rPr>
      </w:pPr>
      <w:r>
        <w:rPr>
          <w:rFonts w:ascii="Arial" w:hAnsi="Arial"/>
          <w:sz w:val="22"/>
        </w:rPr>
        <w:t xml:space="preserve">La rémunération de l'opérateur, répartie entre les suivis administratif et financier, opérationnel, </w:t>
      </w:r>
      <w:r w:rsidR="008D309B">
        <w:rPr>
          <w:rFonts w:ascii="Arial" w:hAnsi="Arial"/>
          <w:sz w:val="22"/>
        </w:rPr>
        <w:t xml:space="preserve">la </w:t>
      </w:r>
      <w:r>
        <w:rPr>
          <w:rFonts w:ascii="Arial" w:hAnsi="Arial"/>
          <w:sz w:val="22"/>
        </w:rPr>
        <w:t xml:space="preserve">commercialisation et la liquidation administrative et financière, est </w:t>
      </w:r>
      <w:r w:rsidR="00C56AAA">
        <w:rPr>
          <w:rFonts w:ascii="Arial" w:hAnsi="Arial"/>
          <w:sz w:val="22"/>
        </w:rPr>
        <w:t>estimée</w:t>
      </w:r>
      <w:r>
        <w:rPr>
          <w:rFonts w:ascii="Arial" w:hAnsi="Arial"/>
          <w:sz w:val="22"/>
        </w:rPr>
        <w:t xml:space="preserve"> </w:t>
      </w:r>
      <w:r w:rsidR="008D309B">
        <w:rPr>
          <w:rFonts w:ascii="Arial" w:hAnsi="Arial"/>
          <w:sz w:val="22"/>
        </w:rPr>
        <w:t>à 27</w:t>
      </w:r>
      <w:r w:rsidR="00D00AB1">
        <w:rPr>
          <w:rFonts w:ascii="Arial" w:hAnsi="Arial"/>
          <w:sz w:val="22"/>
        </w:rPr>
        <w:t>1</w:t>
      </w:r>
      <w:r w:rsidR="008D309B">
        <w:rPr>
          <w:rFonts w:ascii="Arial" w:hAnsi="Arial"/>
          <w:sz w:val="22"/>
        </w:rPr>
        <w:t xml:space="preserve"> </w:t>
      </w:r>
      <w:r w:rsidR="00D00AB1">
        <w:rPr>
          <w:rFonts w:ascii="Arial" w:hAnsi="Arial"/>
          <w:sz w:val="22"/>
        </w:rPr>
        <w:t>228</w:t>
      </w:r>
      <w:r w:rsidR="008D309B">
        <w:rPr>
          <w:rFonts w:ascii="Arial" w:hAnsi="Arial"/>
          <w:sz w:val="22"/>
        </w:rPr>
        <w:t xml:space="preserve"> €. </w:t>
      </w:r>
    </w:p>
    <w:p w:rsidR="00ED5CDD" w:rsidRDefault="00ED5CDD">
      <w:pPr>
        <w:ind w:left="1418"/>
        <w:jc w:val="both"/>
        <w:rPr>
          <w:rFonts w:ascii="Arial" w:hAnsi="Arial"/>
          <w:sz w:val="22"/>
        </w:rPr>
      </w:pPr>
    </w:p>
    <w:p w:rsidR="001546D3" w:rsidRDefault="008D309B">
      <w:pPr>
        <w:ind w:left="1418"/>
        <w:jc w:val="both"/>
        <w:rPr>
          <w:rFonts w:ascii="Arial" w:hAnsi="Arial"/>
          <w:sz w:val="22"/>
        </w:rPr>
      </w:pPr>
      <w:r>
        <w:rPr>
          <w:rFonts w:ascii="Arial" w:hAnsi="Arial"/>
          <w:sz w:val="22"/>
        </w:rPr>
        <w:t xml:space="preserve">Le solde de l'opération est réparti entre des frais financiers pour un montant de </w:t>
      </w:r>
      <w:r w:rsidR="00D00AB1">
        <w:rPr>
          <w:rFonts w:ascii="Arial" w:hAnsi="Arial"/>
          <w:sz w:val="22"/>
        </w:rPr>
        <w:t>69</w:t>
      </w:r>
      <w:r>
        <w:rPr>
          <w:rFonts w:ascii="Arial" w:hAnsi="Arial"/>
          <w:sz w:val="22"/>
        </w:rPr>
        <w:t> </w:t>
      </w:r>
      <w:r w:rsidR="00D00AB1">
        <w:rPr>
          <w:rFonts w:ascii="Arial" w:hAnsi="Arial"/>
          <w:sz w:val="22"/>
        </w:rPr>
        <w:t>282</w:t>
      </w:r>
      <w:r>
        <w:rPr>
          <w:rFonts w:ascii="Arial" w:hAnsi="Arial"/>
          <w:sz w:val="22"/>
        </w:rPr>
        <w:t> €, la marge de l'opérateur de 117 697 € conformément au traité de concession, des frais divers pour 2</w:t>
      </w:r>
      <w:r w:rsidR="00D00AB1">
        <w:rPr>
          <w:rFonts w:ascii="Arial" w:hAnsi="Arial"/>
          <w:sz w:val="22"/>
        </w:rPr>
        <w:t>2</w:t>
      </w:r>
      <w:r>
        <w:rPr>
          <w:rFonts w:ascii="Arial" w:hAnsi="Arial"/>
          <w:sz w:val="22"/>
        </w:rPr>
        <w:t xml:space="preserve"> 000 € et une provision pour valorisation des terrains de 300 400 €. </w:t>
      </w:r>
    </w:p>
    <w:p w:rsidR="008D309B" w:rsidRDefault="008D309B">
      <w:pPr>
        <w:ind w:left="1418"/>
        <w:jc w:val="both"/>
        <w:rPr>
          <w:rFonts w:ascii="Arial" w:hAnsi="Arial"/>
          <w:sz w:val="22"/>
        </w:rPr>
      </w:pPr>
    </w:p>
    <w:p w:rsidR="008D309B" w:rsidRDefault="008D309B">
      <w:pPr>
        <w:ind w:left="1418"/>
        <w:jc w:val="both"/>
        <w:rPr>
          <w:rFonts w:ascii="Arial" w:hAnsi="Arial"/>
          <w:sz w:val="22"/>
        </w:rPr>
      </w:pPr>
      <w:r>
        <w:rPr>
          <w:rFonts w:ascii="Arial" w:hAnsi="Arial"/>
          <w:sz w:val="22"/>
        </w:rPr>
        <w:t>Globalement, le montant total des dépenses estimé de l'opération s'élève à 3 </w:t>
      </w:r>
      <w:r w:rsidR="0086369A">
        <w:rPr>
          <w:rFonts w:ascii="Arial" w:hAnsi="Arial"/>
          <w:sz w:val="22"/>
        </w:rPr>
        <w:t>857</w:t>
      </w:r>
      <w:r>
        <w:rPr>
          <w:rFonts w:ascii="Arial" w:hAnsi="Arial"/>
          <w:sz w:val="22"/>
        </w:rPr>
        <w:t> </w:t>
      </w:r>
      <w:r w:rsidR="00D00AB1">
        <w:rPr>
          <w:rFonts w:ascii="Arial" w:hAnsi="Arial"/>
          <w:sz w:val="22"/>
        </w:rPr>
        <w:t>742</w:t>
      </w:r>
      <w:r>
        <w:rPr>
          <w:rFonts w:ascii="Arial" w:hAnsi="Arial"/>
          <w:sz w:val="22"/>
        </w:rPr>
        <w:t> €.</w:t>
      </w:r>
    </w:p>
    <w:p w:rsidR="008D309B" w:rsidRDefault="008D309B">
      <w:pPr>
        <w:ind w:left="1418"/>
        <w:jc w:val="both"/>
        <w:rPr>
          <w:rFonts w:ascii="Arial" w:hAnsi="Arial"/>
          <w:sz w:val="22"/>
        </w:rPr>
      </w:pPr>
    </w:p>
    <w:p w:rsidR="00D00AB1" w:rsidRDefault="00D00AB1">
      <w:pPr>
        <w:ind w:left="1418"/>
        <w:jc w:val="both"/>
        <w:rPr>
          <w:rFonts w:ascii="Arial" w:hAnsi="Arial"/>
          <w:sz w:val="22"/>
        </w:rPr>
      </w:pPr>
    </w:p>
    <w:p w:rsidR="00D00AB1" w:rsidRDefault="00D00AB1">
      <w:pPr>
        <w:ind w:left="1418"/>
        <w:jc w:val="both"/>
        <w:rPr>
          <w:rFonts w:ascii="Arial" w:hAnsi="Arial"/>
          <w:sz w:val="22"/>
        </w:rPr>
      </w:pPr>
    </w:p>
    <w:p w:rsidR="00D00AB1" w:rsidRDefault="00D00AB1">
      <w:pPr>
        <w:ind w:left="1418"/>
        <w:jc w:val="both"/>
        <w:rPr>
          <w:rFonts w:ascii="Arial" w:hAnsi="Arial"/>
          <w:sz w:val="22"/>
        </w:rPr>
      </w:pPr>
    </w:p>
    <w:p w:rsidR="00D00AB1" w:rsidRDefault="00D00AB1">
      <w:pPr>
        <w:ind w:left="1418"/>
        <w:jc w:val="both"/>
        <w:rPr>
          <w:rFonts w:ascii="Arial" w:hAnsi="Arial"/>
          <w:sz w:val="22"/>
        </w:rPr>
      </w:pPr>
    </w:p>
    <w:p w:rsidR="00D00AB1" w:rsidRDefault="00D00AB1">
      <w:pPr>
        <w:ind w:left="1418"/>
        <w:jc w:val="both"/>
        <w:rPr>
          <w:rFonts w:ascii="Arial" w:hAnsi="Arial"/>
          <w:sz w:val="22"/>
        </w:rPr>
      </w:pPr>
    </w:p>
    <w:p w:rsidR="00D00AB1" w:rsidRDefault="00D00AB1">
      <w:pPr>
        <w:ind w:left="1418"/>
        <w:jc w:val="both"/>
        <w:rPr>
          <w:rFonts w:ascii="Arial" w:hAnsi="Arial"/>
          <w:sz w:val="22"/>
        </w:rPr>
      </w:pPr>
    </w:p>
    <w:p w:rsidR="0058111E" w:rsidRPr="0058111E" w:rsidRDefault="0058111E" w:rsidP="0058111E">
      <w:pPr>
        <w:autoSpaceDE w:val="0"/>
        <w:autoSpaceDN w:val="0"/>
        <w:adjustRightInd w:val="0"/>
        <w:ind w:left="1418"/>
        <w:jc w:val="both"/>
        <w:rPr>
          <w:rFonts w:ascii="Arial" w:hAnsi="Arial" w:cs="Arial"/>
          <w:sz w:val="22"/>
          <w:szCs w:val="22"/>
        </w:rPr>
      </w:pPr>
      <w:r w:rsidRPr="0058111E">
        <w:rPr>
          <w:rFonts w:ascii="Arial" w:hAnsi="Arial" w:cs="Arial"/>
          <w:sz w:val="22"/>
          <w:szCs w:val="22"/>
        </w:rPr>
        <w:t>Le financement de l’opération est assuré par :</w:t>
      </w:r>
    </w:p>
    <w:p w:rsidR="0058111E" w:rsidRPr="0058111E" w:rsidRDefault="008903DE" w:rsidP="0058111E">
      <w:pPr>
        <w:pStyle w:val="Paragraphedeliste"/>
        <w:numPr>
          <w:ilvl w:val="0"/>
          <w:numId w:val="12"/>
        </w:numPr>
        <w:autoSpaceDE w:val="0"/>
        <w:autoSpaceDN w:val="0"/>
        <w:adjustRightInd w:val="0"/>
        <w:spacing w:before="120"/>
        <w:ind w:left="1701" w:hanging="283"/>
        <w:jc w:val="both"/>
        <w:rPr>
          <w:rFonts w:ascii="Arial" w:hAnsi="Arial" w:cs="Arial"/>
          <w:b/>
          <w:sz w:val="22"/>
          <w:szCs w:val="22"/>
        </w:rPr>
      </w:pPr>
      <w:r>
        <w:rPr>
          <w:rFonts w:ascii="Arial" w:hAnsi="Arial" w:cs="Arial"/>
          <w:b/>
          <w:sz w:val="22"/>
          <w:szCs w:val="22"/>
        </w:rPr>
        <w:t>l</w:t>
      </w:r>
      <w:r w:rsidR="0058111E" w:rsidRPr="0058111E">
        <w:rPr>
          <w:rFonts w:ascii="Arial" w:hAnsi="Arial" w:cs="Arial"/>
          <w:b/>
          <w:sz w:val="22"/>
          <w:szCs w:val="22"/>
        </w:rPr>
        <w:t>es emprunts</w:t>
      </w:r>
    </w:p>
    <w:p w:rsidR="0058111E" w:rsidRPr="0058111E" w:rsidRDefault="0058111E" w:rsidP="00BF6A47">
      <w:pPr>
        <w:autoSpaceDE w:val="0"/>
        <w:autoSpaceDN w:val="0"/>
        <w:adjustRightInd w:val="0"/>
        <w:spacing w:before="60"/>
        <w:ind w:left="1701"/>
        <w:jc w:val="both"/>
        <w:rPr>
          <w:rFonts w:ascii="Arial" w:hAnsi="Arial" w:cs="Arial"/>
          <w:sz w:val="22"/>
          <w:szCs w:val="22"/>
        </w:rPr>
      </w:pPr>
      <w:r w:rsidRPr="0058111E">
        <w:rPr>
          <w:rFonts w:ascii="Arial" w:hAnsi="Arial" w:cs="Arial"/>
          <w:sz w:val="22"/>
          <w:szCs w:val="22"/>
        </w:rPr>
        <w:t>Un emprunt est prévu pour le financement de l’opération.</w:t>
      </w:r>
    </w:p>
    <w:p w:rsidR="0058111E" w:rsidRPr="0058111E" w:rsidRDefault="0058111E" w:rsidP="0058111E">
      <w:pPr>
        <w:autoSpaceDE w:val="0"/>
        <w:autoSpaceDN w:val="0"/>
        <w:adjustRightInd w:val="0"/>
        <w:ind w:left="1701"/>
        <w:jc w:val="both"/>
        <w:rPr>
          <w:rFonts w:ascii="Arial" w:hAnsi="Arial" w:cs="Arial"/>
          <w:sz w:val="22"/>
          <w:szCs w:val="22"/>
        </w:rPr>
      </w:pPr>
      <w:r w:rsidRPr="0058111E">
        <w:rPr>
          <w:rFonts w:ascii="Arial" w:hAnsi="Arial" w:cs="Arial"/>
          <w:sz w:val="22"/>
          <w:szCs w:val="22"/>
        </w:rPr>
        <w:t>Le montant estimé est de 500</w:t>
      </w:r>
      <w:r>
        <w:rPr>
          <w:rFonts w:ascii="Arial" w:hAnsi="Arial" w:cs="Arial"/>
          <w:sz w:val="22"/>
          <w:szCs w:val="22"/>
        </w:rPr>
        <w:t xml:space="preserve"> </w:t>
      </w:r>
      <w:r w:rsidRPr="0058111E">
        <w:rPr>
          <w:rFonts w:ascii="Arial" w:hAnsi="Arial" w:cs="Arial"/>
          <w:sz w:val="22"/>
          <w:szCs w:val="22"/>
        </w:rPr>
        <w:t>000 € mobilisable en fonction des besoins de trésorerie,</w:t>
      </w:r>
      <w:r>
        <w:rPr>
          <w:rFonts w:ascii="Arial" w:hAnsi="Arial" w:cs="Arial"/>
          <w:sz w:val="22"/>
          <w:szCs w:val="22"/>
        </w:rPr>
        <w:t xml:space="preserve"> </w:t>
      </w:r>
      <w:proofErr w:type="spellStart"/>
      <w:r w:rsidRPr="0058111E">
        <w:rPr>
          <w:rFonts w:ascii="Arial" w:hAnsi="Arial" w:cs="Arial"/>
          <w:sz w:val="22"/>
          <w:szCs w:val="22"/>
        </w:rPr>
        <w:t>prévisionnellement</w:t>
      </w:r>
      <w:proofErr w:type="spellEnd"/>
      <w:r w:rsidRPr="0058111E">
        <w:rPr>
          <w:rFonts w:ascii="Arial" w:hAnsi="Arial" w:cs="Arial"/>
          <w:sz w:val="22"/>
          <w:szCs w:val="22"/>
        </w:rPr>
        <w:t xml:space="preserve"> en 201</w:t>
      </w:r>
      <w:r w:rsidR="005073FD">
        <w:rPr>
          <w:rFonts w:ascii="Arial" w:hAnsi="Arial" w:cs="Arial"/>
          <w:sz w:val="22"/>
          <w:szCs w:val="22"/>
        </w:rPr>
        <w:t>8 et 2019</w:t>
      </w:r>
      <w:r w:rsidRPr="0058111E">
        <w:rPr>
          <w:rFonts w:ascii="Arial" w:hAnsi="Arial" w:cs="Arial"/>
          <w:sz w:val="22"/>
          <w:szCs w:val="22"/>
        </w:rPr>
        <w:t>.</w:t>
      </w:r>
    </w:p>
    <w:p w:rsidR="0058111E" w:rsidRPr="0058111E" w:rsidRDefault="0058111E" w:rsidP="00BF6A47">
      <w:pPr>
        <w:autoSpaceDE w:val="0"/>
        <w:autoSpaceDN w:val="0"/>
        <w:adjustRightInd w:val="0"/>
        <w:spacing w:before="60"/>
        <w:ind w:left="1701"/>
        <w:jc w:val="both"/>
        <w:rPr>
          <w:rFonts w:ascii="Arial" w:hAnsi="Arial" w:cs="Arial"/>
          <w:sz w:val="22"/>
          <w:szCs w:val="22"/>
        </w:rPr>
      </w:pPr>
      <w:r w:rsidRPr="0058111E">
        <w:rPr>
          <w:rFonts w:ascii="Arial" w:hAnsi="Arial" w:cs="Arial"/>
          <w:sz w:val="22"/>
          <w:szCs w:val="22"/>
        </w:rPr>
        <w:t>Le remboursement de l’emprunt intervient pour moitié en 202</w:t>
      </w:r>
      <w:r w:rsidR="00D00AB1">
        <w:rPr>
          <w:rFonts w:ascii="Arial" w:hAnsi="Arial" w:cs="Arial"/>
          <w:sz w:val="22"/>
          <w:szCs w:val="22"/>
        </w:rPr>
        <w:t>1</w:t>
      </w:r>
      <w:r w:rsidRPr="0058111E">
        <w:rPr>
          <w:rFonts w:ascii="Arial" w:hAnsi="Arial" w:cs="Arial"/>
          <w:sz w:val="22"/>
          <w:szCs w:val="22"/>
        </w:rPr>
        <w:t xml:space="preserve"> et pour moitié en 202</w:t>
      </w:r>
      <w:r w:rsidR="00D00AB1">
        <w:rPr>
          <w:rFonts w:ascii="Arial" w:hAnsi="Arial" w:cs="Arial"/>
          <w:sz w:val="22"/>
          <w:szCs w:val="22"/>
        </w:rPr>
        <w:t>2</w:t>
      </w:r>
      <w:r w:rsidRPr="0058111E">
        <w:rPr>
          <w:rFonts w:ascii="Arial" w:hAnsi="Arial" w:cs="Arial"/>
          <w:sz w:val="22"/>
          <w:szCs w:val="22"/>
        </w:rPr>
        <w:t>.</w:t>
      </w:r>
    </w:p>
    <w:p w:rsidR="0058111E" w:rsidRPr="00D00AB1" w:rsidRDefault="0058111E" w:rsidP="0058111E">
      <w:pPr>
        <w:autoSpaceDE w:val="0"/>
        <w:autoSpaceDN w:val="0"/>
        <w:adjustRightInd w:val="0"/>
        <w:ind w:left="1418"/>
        <w:jc w:val="both"/>
        <w:rPr>
          <w:rFonts w:ascii="Arial" w:hAnsi="Arial" w:cs="Arial"/>
          <w:sz w:val="16"/>
          <w:szCs w:val="16"/>
        </w:rPr>
      </w:pPr>
    </w:p>
    <w:p w:rsidR="0058111E" w:rsidRPr="0058111E" w:rsidRDefault="008903DE" w:rsidP="0058111E">
      <w:pPr>
        <w:pStyle w:val="Paragraphedeliste"/>
        <w:numPr>
          <w:ilvl w:val="0"/>
          <w:numId w:val="14"/>
        </w:numPr>
        <w:autoSpaceDE w:val="0"/>
        <w:autoSpaceDN w:val="0"/>
        <w:adjustRightInd w:val="0"/>
        <w:ind w:left="1701" w:hanging="283"/>
        <w:jc w:val="both"/>
        <w:rPr>
          <w:rFonts w:ascii="Arial" w:hAnsi="Arial" w:cs="Arial"/>
          <w:b/>
          <w:sz w:val="22"/>
          <w:szCs w:val="22"/>
        </w:rPr>
      </w:pPr>
      <w:r>
        <w:rPr>
          <w:rFonts w:ascii="Arial" w:hAnsi="Arial" w:cs="Arial"/>
          <w:b/>
          <w:sz w:val="22"/>
          <w:szCs w:val="22"/>
        </w:rPr>
        <w:t>l</w:t>
      </w:r>
      <w:r w:rsidR="0058111E" w:rsidRPr="0058111E">
        <w:rPr>
          <w:rFonts w:ascii="Arial" w:hAnsi="Arial" w:cs="Arial"/>
          <w:b/>
          <w:sz w:val="22"/>
          <w:szCs w:val="22"/>
        </w:rPr>
        <w:t>es avances de la collectivité</w:t>
      </w:r>
    </w:p>
    <w:p w:rsidR="0058111E" w:rsidRPr="0058111E" w:rsidRDefault="0058111E" w:rsidP="00BF6A47">
      <w:pPr>
        <w:autoSpaceDE w:val="0"/>
        <w:autoSpaceDN w:val="0"/>
        <w:adjustRightInd w:val="0"/>
        <w:spacing w:before="60"/>
        <w:ind w:left="1701"/>
        <w:jc w:val="both"/>
        <w:rPr>
          <w:rFonts w:ascii="Arial" w:hAnsi="Arial" w:cs="Arial"/>
          <w:sz w:val="22"/>
          <w:szCs w:val="22"/>
        </w:rPr>
      </w:pPr>
      <w:r w:rsidRPr="0058111E">
        <w:rPr>
          <w:rFonts w:ascii="Arial" w:hAnsi="Arial" w:cs="Arial"/>
          <w:sz w:val="22"/>
          <w:szCs w:val="22"/>
        </w:rPr>
        <w:t xml:space="preserve">Les avances de la collectivité à l’opération sont estimées à </w:t>
      </w:r>
      <w:r w:rsidR="005073FD">
        <w:rPr>
          <w:rFonts w:ascii="Arial" w:hAnsi="Arial" w:cs="Arial"/>
          <w:sz w:val="22"/>
          <w:szCs w:val="22"/>
        </w:rPr>
        <w:t>2 0</w:t>
      </w:r>
      <w:r w:rsidRPr="0058111E">
        <w:rPr>
          <w:rFonts w:ascii="Arial" w:hAnsi="Arial" w:cs="Arial"/>
          <w:sz w:val="22"/>
          <w:szCs w:val="22"/>
        </w:rPr>
        <w:t>00</w:t>
      </w:r>
      <w:r>
        <w:rPr>
          <w:rFonts w:ascii="Arial" w:hAnsi="Arial" w:cs="Arial"/>
          <w:sz w:val="22"/>
          <w:szCs w:val="22"/>
        </w:rPr>
        <w:t xml:space="preserve"> </w:t>
      </w:r>
      <w:r w:rsidRPr="0058111E">
        <w:rPr>
          <w:rFonts w:ascii="Arial" w:hAnsi="Arial" w:cs="Arial"/>
          <w:sz w:val="22"/>
          <w:szCs w:val="22"/>
        </w:rPr>
        <w:t>000 € sur la durée de la concession.</w:t>
      </w:r>
    </w:p>
    <w:p w:rsidR="0058111E" w:rsidRPr="0058111E" w:rsidRDefault="0058111E" w:rsidP="00BF6A47">
      <w:pPr>
        <w:autoSpaceDE w:val="0"/>
        <w:autoSpaceDN w:val="0"/>
        <w:adjustRightInd w:val="0"/>
        <w:spacing w:before="60"/>
        <w:ind w:left="1701"/>
        <w:jc w:val="both"/>
        <w:rPr>
          <w:rFonts w:ascii="Arial" w:hAnsi="Arial" w:cs="Arial"/>
          <w:sz w:val="22"/>
          <w:szCs w:val="22"/>
        </w:rPr>
      </w:pPr>
      <w:r w:rsidRPr="0058111E">
        <w:rPr>
          <w:rFonts w:ascii="Arial" w:hAnsi="Arial" w:cs="Arial"/>
          <w:sz w:val="22"/>
          <w:szCs w:val="22"/>
        </w:rPr>
        <w:t>Les versements respectent le calendrier suivant :</w:t>
      </w:r>
    </w:p>
    <w:p w:rsidR="005073FD" w:rsidRDefault="00D00AB1" w:rsidP="0058111E">
      <w:pPr>
        <w:pStyle w:val="Paragraphedeliste"/>
        <w:numPr>
          <w:ilvl w:val="0"/>
          <w:numId w:val="15"/>
        </w:numPr>
        <w:autoSpaceDE w:val="0"/>
        <w:autoSpaceDN w:val="0"/>
        <w:adjustRightInd w:val="0"/>
        <w:ind w:left="1985" w:hanging="284"/>
        <w:jc w:val="both"/>
        <w:rPr>
          <w:rFonts w:ascii="Arial" w:hAnsi="Arial" w:cs="Arial"/>
          <w:sz w:val="22"/>
          <w:szCs w:val="22"/>
        </w:rPr>
      </w:pPr>
      <w:r>
        <w:rPr>
          <w:rFonts w:ascii="Arial" w:hAnsi="Arial" w:cs="Arial"/>
          <w:sz w:val="22"/>
          <w:szCs w:val="22"/>
        </w:rPr>
        <w:t>4</w:t>
      </w:r>
      <w:r w:rsidR="0058111E" w:rsidRPr="0058111E">
        <w:rPr>
          <w:rFonts w:ascii="Arial" w:hAnsi="Arial" w:cs="Arial"/>
          <w:sz w:val="22"/>
          <w:szCs w:val="22"/>
        </w:rPr>
        <w:t>00</w:t>
      </w:r>
      <w:r>
        <w:rPr>
          <w:rFonts w:ascii="Arial" w:hAnsi="Arial" w:cs="Arial"/>
          <w:sz w:val="22"/>
          <w:szCs w:val="22"/>
        </w:rPr>
        <w:t xml:space="preserve"> 000 € en 2017-2018-</w:t>
      </w:r>
      <w:r w:rsidR="0058111E">
        <w:rPr>
          <w:rFonts w:ascii="Arial" w:hAnsi="Arial" w:cs="Arial"/>
          <w:sz w:val="22"/>
          <w:szCs w:val="22"/>
        </w:rPr>
        <w:t>2019</w:t>
      </w:r>
      <w:r w:rsidR="005073FD">
        <w:rPr>
          <w:rFonts w:ascii="Arial" w:hAnsi="Arial" w:cs="Arial"/>
          <w:sz w:val="22"/>
          <w:szCs w:val="22"/>
        </w:rPr>
        <w:t xml:space="preserve"> ;</w:t>
      </w:r>
    </w:p>
    <w:p w:rsidR="0058111E" w:rsidRPr="0058111E" w:rsidRDefault="005073FD" w:rsidP="0058111E">
      <w:pPr>
        <w:pStyle w:val="Paragraphedeliste"/>
        <w:numPr>
          <w:ilvl w:val="0"/>
          <w:numId w:val="15"/>
        </w:numPr>
        <w:autoSpaceDE w:val="0"/>
        <w:autoSpaceDN w:val="0"/>
        <w:adjustRightInd w:val="0"/>
        <w:ind w:left="1985" w:hanging="284"/>
        <w:jc w:val="both"/>
        <w:rPr>
          <w:rFonts w:ascii="Arial" w:hAnsi="Arial" w:cs="Arial"/>
          <w:sz w:val="22"/>
          <w:szCs w:val="22"/>
        </w:rPr>
      </w:pPr>
      <w:r>
        <w:rPr>
          <w:rFonts w:ascii="Arial" w:hAnsi="Arial" w:cs="Arial"/>
          <w:sz w:val="22"/>
          <w:szCs w:val="22"/>
        </w:rPr>
        <w:t xml:space="preserve">400 000 </w:t>
      </w:r>
      <w:r w:rsidR="00263B0C">
        <w:rPr>
          <w:rFonts w:ascii="Arial" w:hAnsi="Arial" w:cs="Arial"/>
          <w:sz w:val="22"/>
          <w:szCs w:val="22"/>
        </w:rPr>
        <w:t>€</w:t>
      </w:r>
      <w:r>
        <w:rPr>
          <w:rFonts w:ascii="Arial" w:hAnsi="Arial" w:cs="Arial"/>
          <w:sz w:val="22"/>
          <w:szCs w:val="22"/>
        </w:rPr>
        <w:t xml:space="preserve"> en </w:t>
      </w:r>
      <w:r w:rsidR="00D00AB1">
        <w:rPr>
          <w:rFonts w:ascii="Arial" w:hAnsi="Arial" w:cs="Arial"/>
          <w:sz w:val="22"/>
          <w:szCs w:val="22"/>
        </w:rPr>
        <w:t>2021 et 2022</w:t>
      </w:r>
      <w:r>
        <w:rPr>
          <w:rFonts w:ascii="Arial" w:hAnsi="Arial" w:cs="Arial"/>
          <w:sz w:val="22"/>
          <w:szCs w:val="22"/>
        </w:rPr>
        <w:t>.</w:t>
      </w:r>
    </w:p>
    <w:p w:rsidR="0058111E" w:rsidRPr="0058111E" w:rsidRDefault="0058111E" w:rsidP="00BF6A47">
      <w:pPr>
        <w:autoSpaceDE w:val="0"/>
        <w:autoSpaceDN w:val="0"/>
        <w:adjustRightInd w:val="0"/>
        <w:spacing w:before="60"/>
        <w:ind w:left="1701"/>
        <w:jc w:val="both"/>
        <w:rPr>
          <w:rFonts w:ascii="Arial" w:hAnsi="Arial" w:cs="Arial"/>
          <w:sz w:val="22"/>
          <w:szCs w:val="22"/>
        </w:rPr>
      </w:pPr>
      <w:r w:rsidRPr="0058111E">
        <w:rPr>
          <w:rFonts w:ascii="Arial" w:hAnsi="Arial" w:cs="Arial"/>
          <w:sz w:val="22"/>
          <w:szCs w:val="22"/>
        </w:rPr>
        <w:t>Le remboursement des avances interviendra lors du règlement final de l’opération en 2023.</w:t>
      </w:r>
    </w:p>
    <w:p w:rsidR="001546D3" w:rsidRPr="0058111E" w:rsidRDefault="001546D3" w:rsidP="0058111E">
      <w:pPr>
        <w:ind w:left="1418"/>
        <w:jc w:val="both"/>
        <w:rPr>
          <w:rFonts w:ascii="Arial" w:hAnsi="Arial" w:cs="Arial"/>
          <w:sz w:val="22"/>
          <w:szCs w:val="22"/>
        </w:rPr>
      </w:pPr>
    </w:p>
    <w:p w:rsidR="0044558B" w:rsidRDefault="0044558B" w:rsidP="0058111E">
      <w:pPr>
        <w:autoSpaceDE w:val="0"/>
        <w:autoSpaceDN w:val="0"/>
        <w:adjustRightInd w:val="0"/>
        <w:ind w:left="1418"/>
        <w:jc w:val="both"/>
        <w:rPr>
          <w:rFonts w:ascii="Arial" w:hAnsi="Arial" w:cs="Arial"/>
          <w:sz w:val="22"/>
          <w:szCs w:val="22"/>
        </w:rPr>
      </w:pPr>
      <w:r>
        <w:rPr>
          <w:rFonts w:ascii="Arial" w:hAnsi="Arial" w:cs="Arial"/>
          <w:sz w:val="22"/>
          <w:szCs w:val="22"/>
        </w:rPr>
        <w:t>En conclusion, la poursuite de l'opération se présente de la manière suivante.</w:t>
      </w:r>
    </w:p>
    <w:p w:rsidR="0044558B" w:rsidRDefault="0044558B" w:rsidP="0058111E">
      <w:pPr>
        <w:autoSpaceDE w:val="0"/>
        <w:autoSpaceDN w:val="0"/>
        <w:adjustRightInd w:val="0"/>
        <w:ind w:left="1418"/>
        <w:jc w:val="both"/>
        <w:rPr>
          <w:rFonts w:ascii="Arial" w:hAnsi="Arial" w:cs="Arial"/>
          <w:sz w:val="22"/>
          <w:szCs w:val="22"/>
        </w:rPr>
      </w:pPr>
    </w:p>
    <w:p w:rsidR="0058111E" w:rsidRDefault="00BF6A47" w:rsidP="0058111E">
      <w:pPr>
        <w:autoSpaceDE w:val="0"/>
        <w:autoSpaceDN w:val="0"/>
        <w:adjustRightInd w:val="0"/>
        <w:ind w:left="1418"/>
        <w:jc w:val="both"/>
        <w:rPr>
          <w:rFonts w:ascii="Arial" w:hAnsi="Arial" w:cs="Arial"/>
          <w:sz w:val="22"/>
          <w:szCs w:val="22"/>
        </w:rPr>
      </w:pPr>
      <w:r>
        <w:rPr>
          <w:rFonts w:ascii="Arial" w:hAnsi="Arial" w:cs="Arial"/>
          <w:sz w:val="22"/>
          <w:szCs w:val="22"/>
        </w:rPr>
        <w:t>A la s</w:t>
      </w:r>
      <w:r w:rsidR="0058111E" w:rsidRPr="0058111E">
        <w:rPr>
          <w:rFonts w:ascii="Arial" w:hAnsi="Arial" w:cs="Arial"/>
          <w:sz w:val="22"/>
          <w:szCs w:val="22"/>
        </w:rPr>
        <w:t xml:space="preserve">uite </w:t>
      </w:r>
      <w:r>
        <w:rPr>
          <w:rFonts w:ascii="Arial" w:hAnsi="Arial" w:cs="Arial"/>
          <w:sz w:val="22"/>
          <w:szCs w:val="22"/>
        </w:rPr>
        <w:t>de</w:t>
      </w:r>
      <w:r w:rsidR="0058111E" w:rsidRPr="0058111E">
        <w:rPr>
          <w:rFonts w:ascii="Arial" w:hAnsi="Arial" w:cs="Arial"/>
          <w:sz w:val="22"/>
          <w:szCs w:val="22"/>
        </w:rPr>
        <w:t xml:space="preserve"> l’arrêté de DUP du 9 juin 2016, </w:t>
      </w:r>
      <w:r>
        <w:rPr>
          <w:rFonts w:ascii="Arial" w:hAnsi="Arial" w:cs="Arial"/>
          <w:sz w:val="22"/>
          <w:szCs w:val="22"/>
        </w:rPr>
        <w:t>l'</w:t>
      </w:r>
      <w:r w:rsidR="0058111E" w:rsidRPr="0058111E">
        <w:rPr>
          <w:rFonts w:ascii="Arial" w:hAnsi="Arial" w:cs="Arial"/>
          <w:sz w:val="22"/>
          <w:szCs w:val="22"/>
        </w:rPr>
        <w:t xml:space="preserve">EPORA </w:t>
      </w:r>
      <w:r w:rsidR="008903DE">
        <w:rPr>
          <w:rFonts w:ascii="Arial" w:hAnsi="Arial" w:cs="Arial"/>
          <w:sz w:val="22"/>
          <w:szCs w:val="22"/>
        </w:rPr>
        <w:t>a engagé</w:t>
      </w:r>
      <w:r w:rsidR="0058111E" w:rsidRPr="0058111E">
        <w:rPr>
          <w:rFonts w:ascii="Arial" w:hAnsi="Arial" w:cs="Arial"/>
          <w:sz w:val="22"/>
          <w:szCs w:val="22"/>
        </w:rPr>
        <w:t xml:space="preserve"> les dernières acquisitions foncières.</w:t>
      </w:r>
    </w:p>
    <w:p w:rsidR="00BF6A47" w:rsidRPr="0058111E" w:rsidRDefault="00BF6A47" w:rsidP="0058111E">
      <w:pPr>
        <w:autoSpaceDE w:val="0"/>
        <w:autoSpaceDN w:val="0"/>
        <w:adjustRightInd w:val="0"/>
        <w:ind w:left="1418"/>
        <w:jc w:val="both"/>
        <w:rPr>
          <w:rFonts w:ascii="Arial" w:hAnsi="Arial" w:cs="Arial"/>
          <w:sz w:val="22"/>
          <w:szCs w:val="22"/>
        </w:rPr>
      </w:pPr>
    </w:p>
    <w:p w:rsidR="0058111E" w:rsidRPr="0058111E" w:rsidRDefault="0058111E" w:rsidP="0058111E">
      <w:pPr>
        <w:autoSpaceDE w:val="0"/>
        <w:autoSpaceDN w:val="0"/>
        <w:adjustRightInd w:val="0"/>
        <w:ind w:left="1418"/>
        <w:jc w:val="both"/>
        <w:rPr>
          <w:rFonts w:ascii="Arial" w:hAnsi="Arial" w:cs="Arial"/>
          <w:sz w:val="22"/>
          <w:szCs w:val="22"/>
        </w:rPr>
      </w:pPr>
      <w:r w:rsidRPr="0058111E">
        <w:rPr>
          <w:rFonts w:ascii="Arial" w:hAnsi="Arial" w:cs="Arial"/>
          <w:sz w:val="22"/>
          <w:szCs w:val="22"/>
        </w:rPr>
        <w:t>Dès à présent</w:t>
      </w:r>
      <w:r w:rsidR="00BF6A47">
        <w:rPr>
          <w:rFonts w:ascii="Arial" w:hAnsi="Arial" w:cs="Arial"/>
          <w:sz w:val="22"/>
          <w:szCs w:val="22"/>
        </w:rPr>
        <w:t>,</w:t>
      </w:r>
      <w:r w:rsidRPr="0058111E">
        <w:rPr>
          <w:rFonts w:ascii="Arial" w:hAnsi="Arial" w:cs="Arial"/>
          <w:sz w:val="22"/>
          <w:szCs w:val="22"/>
        </w:rPr>
        <w:t xml:space="preserve"> la SEDL engagera les études préalables à la mise à jour du projet.</w:t>
      </w:r>
    </w:p>
    <w:p w:rsidR="0058111E" w:rsidRPr="0058111E" w:rsidRDefault="00BF6A47" w:rsidP="0058111E">
      <w:pPr>
        <w:autoSpaceDE w:val="0"/>
        <w:autoSpaceDN w:val="0"/>
        <w:adjustRightInd w:val="0"/>
        <w:ind w:left="1418"/>
        <w:jc w:val="both"/>
        <w:rPr>
          <w:rFonts w:ascii="Arial" w:hAnsi="Arial" w:cs="Arial"/>
          <w:sz w:val="22"/>
          <w:szCs w:val="22"/>
        </w:rPr>
      </w:pPr>
      <w:r>
        <w:rPr>
          <w:rFonts w:ascii="Arial" w:hAnsi="Arial" w:cs="Arial"/>
          <w:sz w:val="22"/>
          <w:szCs w:val="22"/>
        </w:rPr>
        <w:t>A la suite d'u</w:t>
      </w:r>
      <w:r w:rsidR="0058111E" w:rsidRPr="0058111E">
        <w:rPr>
          <w:rFonts w:ascii="Arial" w:hAnsi="Arial" w:cs="Arial"/>
          <w:sz w:val="22"/>
          <w:szCs w:val="22"/>
        </w:rPr>
        <w:t xml:space="preserve">ne consultation lancée en juillet 2016, le </w:t>
      </w:r>
      <w:r w:rsidR="0044558B">
        <w:rPr>
          <w:rFonts w:ascii="Arial" w:hAnsi="Arial" w:cs="Arial"/>
          <w:sz w:val="22"/>
          <w:szCs w:val="22"/>
        </w:rPr>
        <w:t>b</w:t>
      </w:r>
      <w:r w:rsidR="0058111E" w:rsidRPr="0058111E">
        <w:rPr>
          <w:rFonts w:ascii="Arial" w:hAnsi="Arial" w:cs="Arial"/>
          <w:sz w:val="22"/>
          <w:szCs w:val="22"/>
        </w:rPr>
        <w:t>ureau d’études Réalités</w:t>
      </w:r>
      <w:r w:rsidR="0044558B">
        <w:rPr>
          <w:rFonts w:ascii="Arial" w:hAnsi="Arial" w:cs="Arial"/>
          <w:sz w:val="22"/>
          <w:szCs w:val="22"/>
        </w:rPr>
        <w:t>,</w:t>
      </w:r>
      <w:r w:rsidR="0058111E" w:rsidRPr="0058111E">
        <w:rPr>
          <w:rFonts w:ascii="Arial" w:hAnsi="Arial" w:cs="Arial"/>
          <w:sz w:val="22"/>
          <w:szCs w:val="22"/>
        </w:rPr>
        <w:t xml:space="preserve"> en groupement avec l’atelier</w:t>
      </w:r>
      <w:r w:rsidR="0044558B">
        <w:rPr>
          <w:rFonts w:ascii="Arial" w:hAnsi="Arial" w:cs="Arial"/>
          <w:sz w:val="22"/>
          <w:szCs w:val="22"/>
        </w:rPr>
        <w:t xml:space="preserve"> </w:t>
      </w:r>
      <w:r w:rsidR="0058111E" w:rsidRPr="0058111E">
        <w:rPr>
          <w:rFonts w:ascii="Arial" w:hAnsi="Arial" w:cs="Arial"/>
          <w:sz w:val="22"/>
          <w:szCs w:val="22"/>
        </w:rPr>
        <w:t>BAT</w:t>
      </w:r>
      <w:r w:rsidR="0044558B">
        <w:rPr>
          <w:rFonts w:ascii="Arial" w:hAnsi="Arial" w:cs="Arial"/>
          <w:sz w:val="22"/>
          <w:szCs w:val="22"/>
        </w:rPr>
        <w:t>,</w:t>
      </w:r>
      <w:r w:rsidR="0058111E" w:rsidRPr="0058111E">
        <w:rPr>
          <w:rFonts w:ascii="Arial" w:hAnsi="Arial" w:cs="Arial"/>
          <w:sz w:val="22"/>
          <w:szCs w:val="22"/>
        </w:rPr>
        <w:t xml:space="preserve"> a été </w:t>
      </w:r>
      <w:r w:rsidR="00D00AB1">
        <w:rPr>
          <w:rFonts w:ascii="Arial" w:hAnsi="Arial" w:cs="Arial"/>
          <w:sz w:val="22"/>
          <w:szCs w:val="22"/>
        </w:rPr>
        <w:t>sollicité</w:t>
      </w:r>
      <w:r w:rsidR="0058111E" w:rsidRPr="0058111E">
        <w:rPr>
          <w:rFonts w:ascii="Arial" w:hAnsi="Arial" w:cs="Arial"/>
          <w:sz w:val="22"/>
          <w:szCs w:val="22"/>
        </w:rPr>
        <w:t xml:space="preserve"> pour les missions de plan de composition urbaine, missions de maitrise d’</w:t>
      </w:r>
      <w:r w:rsidR="0044558B">
        <w:rPr>
          <w:rFonts w:ascii="Arial" w:hAnsi="Arial" w:cs="Arial"/>
          <w:sz w:val="22"/>
          <w:szCs w:val="22"/>
        </w:rPr>
        <w:t xml:space="preserve">œuvre </w:t>
      </w:r>
      <w:r w:rsidR="0058111E" w:rsidRPr="0058111E">
        <w:rPr>
          <w:rFonts w:ascii="Arial" w:hAnsi="Arial" w:cs="Arial"/>
          <w:sz w:val="22"/>
          <w:szCs w:val="22"/>
        </w:rPr>
        <w:t>traditionnelle et assistance à la concertation et la communication.</w:t>
      </w:r>
    </w:p>
    <w:p w:rsidR="0058111E" w:rsidRPr="00703701" w:rsidRDefault="0058111E" w:rsidP="0058111E">
      <w:pPr>
        <w:ind w:left="1418"/>
        <w:jc w:val="both"/>
        <w:rPr>
          <w:rFonts w:ascii="Arial" w:hAnsi="Arial" w:cs="Arial"/>
          <w:b/>
          <w:sz w:val="22"/>
          <w:szCs w:val="22"/>
        </w:rPr>
      </w:pPr>
      <w:r w:rsidRPr="0058111E">
        <w:rPr>
          <w:rFonts w:ascii="Arial" w:hAnsi="Arial" w:cs="Arial"/>
          <w:sz w:val="22"/>
          <w:szCs w:val="22"/>
        </w:rPr>
        <w:t>Conformément à l’article 16 de la convention, la SEDL se substituera dès 2017 à la commune pour le</w:t>
      </w:r>
      <w:r w:rsidR="0044558B">
        <w:rPr>
          <w:rFonts w:ascii="Arial" w:hAnsi="Arial" w:cs="Arial"/>
          <w:sz w:val="22"/>
          <w:szCs w:val="22"/>
        </w:rPr>
        <w:t xml:space="preserve"> paiement des acquisitions foncières à l'EPORA.</w:t>
      </w:r>
      <w:r w:rsidR="00703701">
        <w:rPr>
          <w:rFonts w:ascii="Arial" w:hAnsi="Arial" w:cs="Arial"/>
          <w:b/>
          <w:sz w:val="22"/>
          <w:szCs w:val="22"/>
        </w:rPr>
        <w:t>"</w:t>
      </w:r>
    </w:p>
    <w:p w:rsidR="0058111E" w:rsidRDefault="0058111E">
      <w:pPr>
        <w:ind w:left="1418"/>
        <w:jc w:val="both"/>
        <w:rPr>
          <w:rFonts w:ascii="Arial" w:hAnsi="Arial"/>
          <w:sz w:val="22"/>
        </w:rPr>
      </w:pPr>
    </w:p>
    <w:p w:rsidR="00703701" w:rsidRDefault="00703701" w:rsidP="00ED733F">
      <w:pPr>
        <w:ind w:left="1418"/>
        <w:jc w:val="both"/>
        <w:rPr>
          <w:rFonts w:ascii="Arial" w:hAnsi="Arial"/>
          <w:sz w:val="22"/>
          <w:szCs w:val="22"/>
        </w:rPr>
      </w:pPr>
      <w:r>
        <w:rPr>
          <w:rFonts w:ascii="Arial" w:hAnsi="Arial"/>
          <w:sz w:val="22"/>
          <w:szCs w:val="22"/>
        </w:rPr>
        <w:t>Vu le Code général des collectivités territoriales ;</w:t>
      </w:r>
    </w:p>
    <w:p w:rsidR="00703701" w:rsidRPr="00703701" w:rsidRDefault="00703701" w:rsidP="00ED733F">
      <w:pPr>
        <w:ind w:left="1418"/>
        <w:jc w:val="both"/>
        <w:rPr>
          <w:rFonts w:ascii="Arial" w:hAnsi="Arial"/>
          <w:sz w:val="12"/>
          <w:szCs w:val="12"/>
        </w:rPr>
      </w:pPr>
    </w:p>
    <w:p w:rsidR="00703701" w:rsidRDefault="00703701" w:rsidP="00ED733F">
      <w:pPr>
        <w:ind w:left="1418"/>
        <w:jc w:val="both"/>
        <w:rPr>
          <w:rFonts w:ascii="Arial" w:hAnsi="Arial"/>
          <w:sz w:val="22"/>
          <w:szCs w:val="22"/>
        </w:rPr>
      </w:pPr>
      <w:r>
        <w:rPr>
          <w:rFonts w:ascii="Arial" w:hAnsi="Arial"/>
          <w:sz w:val="22"/>
          <w:szCs w:val="22"/>
        </w:rPr>
        <w:t>Vu le Code de l'urbanisme ;</w:t>
      </w:r>
    </w:p>
    <w:p w:rsidR="00703701" w:rsidRPr="00421142" w:rsidRDefault="00703701" w:rsidP="00ED733F">
      <w:pPr>
        <w:ind w:left="1418"/>
        <w:jc w:val="both"/>
        <w:rPr>
          <w:rFonts w:ascii="Arial" w:hAnsi="Arial"/>
          <w:sz w:val="12"/>
          <w:szCs w:val="12"/>
        </w:rPr>
      </w:pPr>
    </w:p>
    <w:p w:rsidR="00703701" w:rsidRDefault="00703701" w:rsidP="00F623B4">
      <w:pPr>
        <w:tabs>
          <w:tab w:val="left" w:pos="1080"/>
          <w:tab w:val="left" w:pos="3960"/>
        </w:tabs>
        <w:ind w:left="1418"/>
        <w:jc w:val="both"/>
        <w:rPr>
          <w:rFonts w:ascii="Arial" w:hAnsi="Arial" w:cs="Arial"/>
          <w:sz w:val="22"/>
          <w:szCs w:val="22"/>
        </w:rPr>
      </w:pPr>
      <w:r w:rsidRPr="00703701">
        <w:rPr>
          <w:rFonts w:ascii="Arial" w:hAnsi="Arial"/>
          <w:sz w:val="22"/>
          <w:szCs w:val="22"/>
        </w:rPr>
        <w:t>Après en avoir délibéré, le c</w:t>
      </w:r>
      <w:r>
        <w:rPr>
          <w:rFonts w:ascii="Arial" w:hAnsi="Arial"/>
          <w:sz w:val="22"/>
          <w:szCs w:val="22"/>
        </w:rPr>
        <w:t>onseil municipal</w:t>
      </w:r>
      <w:r w:rsidRPr="00703701">
        <w:rPr>
          <w:rFonts w:ascii="Arial" w:hAnsi="Arial"/>
          <w:sz w:val="22"/>
          <w:szCs w:val="22"/>
        </w:rPr>
        <w:t xml:space="preserve"> </w:t>
      </w:r>
      <w:r>
        <w:rPr>
          <w:rFonts w:ascii="Arial" w:hAnsi="Arial"/>
          <w:sz w:val="22"/>
        </w:rPr>
        <w:t>approuve</w:t>
      </w:r>
      <w:r>
        <w:rPr>
          <w:rFonts w:ascii="Arial" w:hAnsi="Arial"/>
          <w:sz w:val="22"/>
        </w:rPr>
        <w:t xml:space="preserve"> </w:t>
      </w:r>
      <w:r w:rsidRPr="00703701">
        <w:rPr>
          <w:rFonts w:ascii="Arial" w:hAnsi="Arial"/>
          <w:sz w:val="22"/>
          <w:szCs w:val="22"/>
        </w:rPr>
        <w:t xml:space="preserve">à l'unanimité </w:t>
      </w:r>
      <w:r>
        <w:rPr>
          <w:rFonts w:ascii="Arial" w:hAnsi="Arial"/>
          <w:sz w:val="22"/>
        </w:rPr>
        <w:t xml:space="preserve">le premier </w:t>
      </w:r>
      <w:r w:rsidRPr="00A32068">
        <w:rPr>
          <w:rFonts w:ascii="Arial" w:hAnsi="Arial" w:cs="Arial"/>
          <w:sz w:val="22"/>
          <w:szCs w:val="22"/>
        </w:rPr>
        <w:t xml:space="preserve">compte-rendu d'activité à la collectivité pour l'année </w:t>
      </w:r>
      <w:r w:rsidRPr="00A32068">
        <w:rPr>
          <w:rFonts w:ascii="Arial" w:hAnsi="Arial" w:cs="Arial"/>
          <w:b/>
          <w:sz w:val="22"/>
          <w:szCs w:val="22"/>
        </w:rPr>
        <w:t>2015</w:t>
      </w:r>
      <w:r w:rsidRPr="00A32068">
        <w:rPr>
          <w:rFonts w:ascii="Arial" w:hAnsi="Arial" w:cs="Arial"/>
          <w:sz w:val="22"/>
          <w:szCs w:val="22"/>
        </w:rPr>
        <w:t xml:space="preserve"> relatif à la ZAC </w:t>
      </w:r>
      <w:r>
        <w:rPr>
          <w:rFonts w:ascii="Arial" w:hAnsi="Arial" w:cs="Arial"/>
          <w:sz w:val="22"/>
          <w:szCs w:val="22"/>
        </w:rPr>
        <w:t>du Triangle des Canaux</w:t>
      </w:r>
      <w:r w:rsidRPr="00A32068">
        <w:rPr>
          <w:rFonts w:ascii="Arial" w:hAnsi="Arial" w:cs="Arial"/>
          <w:sz w:val="22"/>
          <w:szCs w:val="22"/>
        </w:rPr>
        <w:t xml:space="preserve">, présenté par </w:t>
      </w:r>
      <w:r>
        <w:rPr>
          <w:rFonts w:ascii="Arial" w:hAnsi="Arial" w:cs="Arial"/>
          <w:sz w:val="22"/>
          <w:szCs w:val="22"/>
        </w:rPr>
        <w:t>la SEDL</w:t>
      </w:r>
      <w:r w:rsidRPr="00703701">
        <w:rPr>
          <w:rFonts w:ascii="Arial" w:hAnsi="Arial" w:cs="Arial"/>
          <w:sz w:val="22"/>
          <w:szCs w:val="22"/>
        </w:rPr>
        <w:t>, et joint à la présente délibération.</w:t>
      </w:r>
    </w:p>
    <w:p w:rsidR="00703701" w:rsidRDefault="00703701" w:rsidP="00F623B4">
      <w:pPr>
        <w:tabs>
          <w:tab w:val="left" w:pos="1080"/>
          <w:tab w:val="left" w:pos="3960"/>
        </w:tabs>
        <w:ind w:left="1418"/>
        <w:jc w:val="both"/>
        <w:rPr>
          <w:rFonts w:ascii="Arial" w:hAnsi="Arial" w:cs="Arial"/>
          <w:sz w:val="22"/>
          <w:szCs w:val="22"/>
        </w:rPr>
      </w:pPr>
    </w:p>
    <w:p w:rsidR="00703701" w:rsidRDefault="00703701" w:rsidP="00F623B4">
      <w:pPr>
        <w:tabs>
          <w:tab w:val="left" w:pos="1080"/>
          <w:tab w:val="left" w:pos="3960"/>
        </w:tabs>
        <w:ind w:left="1418"/>
        <w:jc w:val="both"/>
        <w:rPr>
          <w:rFonts w:ascii="Arial" w:hAnsi="Arial" w:cs="Arial"/>
          <w:sz w:val="22"/>
          <w:szCs w:val="22"/>
        </w:rPr>
      </w:pPr>
    </w:p>
    <w:p w:rsidR="000323C7" w:rsidRDefault="000323C7" w:rsidP="00F623B4">
      <w:pPr>
        <w:tabs>
          <w:tab w:val="left" w:pos="1080"/>
          <w:tab w:val="left" w:pos="3960"/>
        </w:tabs>
        <w:ind w:left="1418"/>
        <w:jc w:val="both"/>
        <w:rPr>
          <w:rFonts w:ascii="Arial" w:hAnsi="Arial" w:cs="Arial"/>
          <w:sz w:val="22"/>
          <w:szCs w:val="22"/>
        </w:rPr>
      </w:pPr>
      <w:bookmarkStart w:id="0" w:name="_GoBack"/>
      <w:bookmarkEnd w:id="0"/>
    </w:p>
    <w:sectPr w:rsidR="000323C7" w:rsidSect="001B4321">
      <w:headerReference w:type="even" r:id="rId9"/>
      <w:headerReference w:type="default" r:id="rId10"/>
      <w:footerReference w:type="even" r:id="rId11"/>
      <w:footerReference w:type="first" r:id="rId12"/>
      <w:pgSz w:w="11907" w:h="16840" w:code="9"/>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1E" w:rsidRDefault="0058111E">
      <w:r>
        <w:separator/>
      </w:r>
    </w:p>
  </w:endnote>
  <w:endnote w:type="continuationSeparator" w:id="0">
    <w:p w:rsidR="0058111E" w:rsidRDefault="0058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1E" w:rsidRDefault="0058111E" w:rsidP="00931083">
    <w:pPr>
      <w:pStyle w:val="Pieddepage"/>
      <w:jc w:val="right"/>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1E" w:rsidRPr="007258F0" w:rsidRDefault="0058111E" w:rsidP="00457E82">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1E" w:rsidRDefault="0058111E">
      <w:r>
        <w:separator/>
      </w:r>
    </w:p>
  </w:footnote>
  <w:footnote w:type="continuationSeparator" w:id="0">
    <w:p w:rsidR="0058111E" w:rsidRDefault="0058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1E" w:rsidRDefault="0058111E">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1E" w:rsidRDefault="0058111E" w:rsidP="00931083">
    <w:pPr>
      <w:pStyle w:val="En-tte"/>
      <w:ind w:left="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43"/>
    <w:multiLevelType w:val="hybridMultilevel"/>
    <w:tmpl w:val="387A3104"/>
    <w:lvl w:ilvl="0" w:tplc="040C000D">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03550FAA"/>
    <w:multiLevelType w:val="hybridMultilevel"/>
    <w:tmpl w:val="4FA25302"/>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0B631365"/>
    <w:multiLevelType w:val="hybridMultilevel"/>
    <w:tmpl w:val="581492A0"/>
    <w:lvl w:ilvl="0" w:tplc="040C000D">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13ED206E"/>
    <w:multiLevelType w:val="hybridMultilevel"/>
    <w:tmpl w:val="22103AE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1DBB5037"/>
    <w:multiLevelType w:val="hybridMultilevel"/>
    <w:tmpl w:val="3A14872C"/>
    <w:lvl w:ilvl="0" w:tplc="13C2435E">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40A83B13"/>
    <w:multiLevelType w:val="hybridMultilevel"/>
    <w:tmpl w:val="9E3A88C8"/>
    <w:lvl w:ilvl="0" w:tplc="327E54D0">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41286FB7"/>
    <w:multiLevelType w:val="hybridMultilevel"/>
    <w:tmpl w:val="3800E52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49D82DCF"/>
    <w:multiLevelType w:val="hybridMultilevel"/>
    <w:tmpl w:val="452E5088"/>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4B430ADC"/>
    <w:multiLevelType w:val="hybridMultilevel"/>
    <w:tmpl w:val="3FFAAC0E"/>
    <w:lvl w:ilvl="0" w:tplc="28885BE0">
      <w:numFmt w:val="bullet"/>
      <w:lvlText w:val="-"/>
      <w:lvlJc w:val="left"/>
      <w:pPr>
        <w:tabs>
          <w:tab w:val="num" w:pos="1778"/>
        </w:tabs>
        <w:ind w:left="1778" w:hanging="360"/>
      </w:pPr>
      <w:rPr>
        <w:rFonts w:ascii="Times New Roman" w:eastAsia="Times New Roman" w:hAnsi="Times New Roman" w:cs="Times New Roman" w:hint="default"/>
      </w:rPr>
    </w:lvl>
    <w:lvl w:ilvl="1" w:tplc="327E54D0">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nsid w:val="55DA6578"/>
    <w:multiLevelType w:val="hybridMultilevel"/>
    <w:tmpl w:val="F70C1F38"/>
    <w:lvl w:ilvl="0" w:tplc="13865DEC">
      <w:numFmt w:val="bullet"/>
      <w:lvlText w:val="-"/>
      <w:lvlJc w:val="left"/>
      <w:pPr>
        <w:ind w:left="3196"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58255E74"/>
    <w:multiLevelType w:val="hybridMultilevel"/>
    <w:tmpl w:val="B5BA35C6"/>
    <w:lvl w:ilvl="0" w:tplc="13865DE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nsid w:val="598C19D2"/>
    <w:multiLevelType w:val="hybridMultilevel"/>
    <w:tmpl w:val="18DE60DC"/>
    <w:lvl w:ilvl="0" w:tplc="13865DE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64294A60"/>
    <w:multiLevelType w:val="hybridMultilevel"/>
    <w:tmpl w:val="2362E7E2"/>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6EA7439D"/>
    <w:multiLevelType w:val="hybridMultilevel"/>
    <w:tmpl w:val="6408202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7FD01B93"/>
    <w:multiLevelType w:val="hybridMultilevel"/>
    <w:tmpl w:val="3228963E"/>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8"/>
  </w:num>
  <w:num w:numId="3">
    <w:abstractNumId w:val="14"/>
  </w:num>
  <w:num w:numId="4">
    <w:abstractNumId w:val="7"/>
  </w:num>
  <w:num w:numId="5">
    <w:abstractNumId w:val="1"/>
  </w:num>
  <w:num w:numId="6">
    <w:abstractNumId w:val="0"/>
  </w:num>
  <w:num w:numId="7">
    <w:abstractNumId w:val="5"/>
  </w:num>
  <w:num w:numId="8">
    <w:abstractNumId w:val="12"/>
  </w:num>
  <w:num w:numId="9">
    <w:abstractNumId w:val="6"/>
  </w:num>
  <w:num w:numId="10">
    <w:abstractNumId w:val="10"/>
  </w:num>
  <w:num w:numId="11">
    <w:abstractNumId w:val="9"/>
  </w:num>
  <w:num w:numId="12">
    <w:abstractNumId w:val="3"/>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5E60"/>
    <w:rsid w:val="00003722"/>
    <w:rsid w:val="00003B8F"/>
    <w:rsid w:val="000176EE"/>
    <w:rsid w:val="00023368"/>
    <w:rsid w:val="00023F17"/>
    <w:rsid w:val="000265CB"/>
    <w:rsid w:val="000323C7"/>
    <w:rsid w:val="0003410A"/>
    <w:rsid w:val="0007231A"/>
    <w:rsid w:val="00072FF8"/>
    <w:rsid w:val="00080DC2"/>
    <w:rsid w:val="00083D3E"/>
    <w:rsid w:val="00095425"/>
    <w:rsid w:val="000B2A6B"/>
    <w:rsid w:val="000C2D44"/>
    <w:rsid w:val="000D2D3B"/>
    <w:rsid w:val="0010111F"/>
    <w:rsid w:val="00102D5A"/>
    <w:rsid w:val="00122D59"/>
    <w:rsid w:val="0014548D"/>
    <w:rsid w:val="001546D3"/>
    <w:rsid w:val="001563C4"/>
    <w:rsid w:val="001576A0"/>
    <w:rsid w:val="001705CB"/>
    <w:rsid w:val="00180C77"/>
    <w:rsid w:val="001838F8"/>
    <w:rsid w:val="001A19B4"/>
    <w:rsid w:val="001B4321"/>
    <w:rsid w:val="001D3450"/>
    <w:rsid w:val="001D46AE"/>
    <w:rsid w:val="001D71CC"/>
    <w:rsid w:val="001E2419"/>
    <w:rsid w:val="00236285"/>
    <w:rsid w:val="0026146C"/>
    <w:rsid w:val="00263B0C"/>
    <w:rsid w:val="002836EC"/>
    <w:rsid w:val="00294460"/>
    <w:rsid w:val="002B4D5D"/>
    <w:rsid w:val="002C45AC"/>
    <w:rsid w:val="002E6FF0"/>
    <w:rsid w:val="002F525A"/>
    <w:rsid w:val="00301B05"/>
    <w:rsid w:val="00336A16"/>
    <w:rsid w:val="00342DB2"/>
    <w:rsid w:val="003542F0"/>
    <w:rsid w:val="00366247"/>
    <w:rsid w:val="00377737"/>
    <w:rsid w:val="00382E30"/>
    <w:rsid w:val="003C15D3"/>
    <w:rsid w:val="003C1763"/>
    <w:rsid w:val="003C4364"/>
    <w:rsid w:val="003D7BE3"/>
    <w:rsid w:val="00404B85"/>
    <w:rsid w:val="00431942"/>
    <w:rsid w:val="00431CCD"/>
    <w:rsid w:val="0044558B"/>
    <w:rsid w:val="00457E82"/>
    <w:rsid w:val="004704EA"/>
    <w:rsid w:val="00471BB3"/>
    <w:rsid w:val="00475823"/>
    <w:rsid w:val="00483CCF"/>
    <w:rsid w:val="00484B00"/>
    <w:rsid w:val="004B693C"/>
    <w:rsid w:val="004C66C9"/>
    <w:rsid w:val="004F3F6C"/>
    <w:rsid w:val="004F49C9"/>
    <w:rsid w:val="004F5514"/>
    <w:rsid w:val="00503103"/>
    <w:rsid w:val="005073FD"/>
    <w:rsid w:val="00512B20"/>
    <w:rsid w:val="00512CCD"/>
    <w:rsid w:val="00532222"/>
    <w:rsid w:val="00555E60"/>
    <w:rsid w:val="00574246"/>
    <w:rsid w:val="0058111E"/>
    <w:rsid w:val="00591216"/>
    <w:rsid w:val="005A02BF"/>
    <w:rsid w:val="005A14CC"/>
    <w:rsid w:val="005A36CF"/>
    <w:rsid w:val="005A7B82"/>
    <w:rsid w:val="005B3211"/>
    <w:rsid w:val="005D6B39"/>
    <w:rsid w:val="005E0658"/>
    <w:rsid w:val="005F69AE"/>
    <w:rsid w:val="006164FF"/>
    <w:rsid w:val="006179EA"/>
    <w:rsid w:val="006219E7"/>
    <w:rsid w:val="006231C9"/>
    <w:rsid w:val="006338F8"/>
    <w:rsid w:val="006365E9"/>
    <w:rsid w:val="006369AF"/>
    <w:rsid w:val="00637AB4"/>
    <w:rsid w:val="00664BF9"/>
    <w:rsid w:val="00666080"/>
    <w:rsid w:val="0066795B"/>
    <w:rsid w:val="00677900"/>
    <w:rsid w:val="0069071D"/>
    <w:rsid w:val="006940CF"/>
    <w:rsid w:val="006A0A61"/>
    <w:rsid w:val="006B1F19"/>
    <w:rsid w:val="006C36E0"/>
    <w:rsid w:val="006C6845"/>
    <w:rsid w:val="006D5FF4"/>
    <w:rsid w:val="00700068"/>
    <w:rsid w:val="00703701"/>
    <w:rsid w:val="007108D9"/>
    <w:rsid w:val="00711C9D"/>
    <w:rsid w:val="00712601"/>
    <w:rsid w:val="007258F0"/>
    <w:rsid w:val="00732102"/>
    <w:rsid w:val="00741A69"/>
    <w:rsid w:val="00775F62"/>
    <w:rsid w:val="00784B32"/>
    <w:rsid w:val="00786583"/>
    <w:rsid w:val="007B0A2C"/>
    <w:rsid w:val="007C0141"/>
    <w:rsid w:val="007C3DB2"/>
    <w:rsid w:val="007C6D77"/>
    <w:rsid w:val="007C6DEF"/>
    <w:rsid w:val="0080267B"/>
    <w:rsid w:val="008028AF"/>
    <w:rsid w:val="00837489"/>
    <w:rsid w:val="008551EC"/>
    <w:rsid w:val="0086369A"/>
    <w:rsid w:val="00883829"/>
    <w:rsid w:val="00887558"/>
    <w:rsid w:val="008903DE"/>
    <w:rsid w:val="008B7043"/>
    <w:rsid w:val="008C11C6"/>
    <w:rsid w:val="008C13FD"/>
    <w:rsid w:val="008D309B"/>
    <w:rsid w:val="008E0E72"/>
    <w:rsid w:val="008F4716"/>
    <w:rsid w:val="00902883"/>
    <w:rsid w:val="009102F9"/>
    <w:rsid w:val="0091489E"/>
    <w:rsid w:val="00931083"/>
    <w:rsid w:val="00950DE1"/>
    <w:rsid w:val="00951056"/>
    <w:rsid w:val="00955C25"/>
    <w:rsid w:val="009561F0"/>
    <w:rsid w:val="00967C1D"/>
    <w:rsid w:val="00971E68"/>
    <w:rsid w:val="00980AE6"/>
    <w:rsid w:val="009B6DFE"/>
    <w:rsid w:val="009C4B04"/>
    <w:rsid w:val="009D0AB8"/>
    <w:rsid w:val="009D2E53"/>
    <w:rsid w:val="009F3AF4"/>
    <w:rsid w:val="00A300D2"/>
    <w:rsid w:val="00A32068"/>
    <w:rsid w:val="00A55841"/>
    <w:rsid w:val="00A728D5"/>
    <w:rsid w:val="00A844E9"/>
    <w:rsid w:val="00AA545A"/>
    <w:rsid w:val="00AB3271"/>
    <w:rsid w:val="00AE41BC"/>
    <w:rsid w:val="00B168F9"/>
    <w:rsid w:val="00B16985"/>
    <w:rsid w:val="00B41A40"/>
    <w:rsid w:val="00B45BFB"/>
    <w:rsid w:val="00B475C0"/>
    <w:rsid w:val="00B81115"/>
    <w:rsid w:val="00B81FCD"/>
    <w:rsid w:val="00B966AC"/>
    <w:rsid w:val="00BB581A"/>
    <w:rsid w:val="00BC4207"/>
    <w:rsid w:val="00BF13FC"/>
    <w:rsid w:val="00BF431C"/>
    <w:rsid w:val="00BF6A47"/>
    <w:rsid w:val="00BF7827"/>
    <w:rsid w:val="00C05C87"/>
    <w:rsid w:val="00C06304"/>
    <w:rsid w:val="00C07518"/>
    <w:rsid w:val="00C156AF"/>
    <w:rsid w:val="00C56AAA"/>
    <w:rsid w:val="00C863D4"/>
    <w:rsid w:val="00CD30E6"/>
    <w:rsid w:val="00CD6E94"/>
    <w:rsid w:val="00CF2CBE"/>
    <w:rsid w:val="00CF5E12"/>
    <w:rsid w:val="00D00AB1"/>
    <w:rsid w:val="00D055B3"/>
    <w:rsid w:val="00D10D94"/>
    <w:rsid w:val="00D20BAC"/>
    <w:rsid w:val="00D75AEC"/>
    <w:rsid w:val="00D93A05"/>
    <w:rsid w:val="00DB182C"/>
    <w:rsid w:val="00DD4E6D"/>
    <w:rsid w:val="00DD593D"/>
    <w:rsid w:val="00DF0026"/>
    <w:rsid w:val="00E12B8B"/>
    <w:rsid w:val="00E13A60"/>
    <w:rsid w:val="00E13B32"/>
    <w:rsid w:val="00E143D7"/>
    <w:rsid w:val="00E2296F"/>
    <w:rsid w:val="00E33B94"/>
    <w:rsid w:val="00E56336"/>
    <w:rsid w:val="00E72E98"/>
    <w:rsid w:val="00E82C65"/>
    <w:rsid w:val="00E83664"/>
    <w:rsid w:val="00E9002D"/>
    <w:rsid w:val="00ED5CDD"/>
    <w:rsid w:val="00EE4A4E"/>
    <w:rsid w:val="00F263F4"/>
    <w:rsid w:val="00F31505"/>
    <w:rsid w:val="00F319F6"/>
    <w:rsid w:val="00F54154"/>
    <w:rsid w:val="00F672EB"/>
    <w:rsid w:val="00F80B92"/>
    <w:rsid w:val="00F84436"/>
    <w:rsid w:val="00FA46AC"/>
    <w:rsid w:val="00FA5415"/>
    <w:rsid w:val="00FC2794"/>
    <w:rsid w:val="00FC35AF"/>
    <w:rsid w:val="00FD21BE"/>
    <w:rsid w:val="00FD5211"/>
    <w:rsid w:val="00FE005E"/>
    <w:rsid w:val="00FF2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61"/>
    <w:rPr>
      <w:rFonts w:ascii="Univers (W1)" w:hAnsi="Univers (W1)"/>
    </w:rPr>
  </w:style>
  <w:style w:type="paragraph" w:styleId="Titre1">
    <w:name w:val="heading 1"/>
    <w:basedOn w:val="Normal"/>
    <w:next w:val="Normal"/>
    <w:qFormat/>
    <w:rsid w:val="006A0A61"/>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6A0A61"/>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6A0A61"/>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6A0A61"/>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6A0A61"/>
    <w:pPr>
      <w:keepNext/>
      <w:spacing w:before="120"/>
      <w:jc w:val="center"/>
      <w:outlineLvl w:val="4"/>
    </w:pPr>
    <w:rPr>
      <w:rFonts w:ascii="Univers" w:hAnsi="Univers"/>
      <w:b/>
      <w:bCs/>
      <w:sz w:val="18"/>
      <w:szCs w:val="18"/>
    </w:rPr>
  </w:style>
  <w:style w:type="paragraph" w:styleId="Titre6">
    <w:name w:val="heading 6"/>
    <w:basedOn w:val="Normal"/>
    <w:next w:val="Normal"/>
    <w:qFormat/>
    <w:rsid w:val="006A0A61"/>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6A0A61"/>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6A0A61"/>
    <w:pPr>
      <w:tabs>
        <w:tab w:val="center" w:pos="4819"/>
        <w:tab w:val="right" w:pos="9071"/>
      </w:tabs>
    </w:pPr>
  </w:style>
  <w:style w:type="paragraph" w:styleId="En-tte">
    <w:name w:val="header"/>
    <w:basedOn w:val="Normal"/>
    <w:rsid w:val="006A0A61"/>
    <w:pPr>
      <w:tabs>
        <w:tab w:val="center" w:pos="4819"/>
        <w:tab w:val="right" w:pos="9071"/>
      </w:tabs>
    </w:pPr>
  </w:style>
  <w:style w:type="paragraph" w:customStyle="1" w:styleId="Paragraphe">
    <w:name w:val="Paragraphe"/>
    <w:basedOn w:val="Normal"/>
    <w:rsid w:val="006A0A61"/>
    <w:pPr>
      <w:ind w:firstLine="1276"/>
      <w:jc w:val="both"/>
    </w:pPr>
  </w:style>
  <w:style w:type="paragraph" w:styleId="Retraitcorpsdetexte">
    <w:name w:val="Body Text Indent"/>
    <w:basedOn w:val="Normal"/>
    <w:rsid w:val="006A0A61"/>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6A0A61"/>
    <w:pPr>
      <w:ind w:left="2268" w:firstLine="1134"/>
      <w:jc w:val="both"/>
    </w:pPr>
    <w:rPr>
      <w:rFonts w:ascii="Univers" w:hAnsi="Univers"/>
      <w:sz w:val="22"/>
      <w:szCs w:val="22"/>
    </w:rPr>
  </w:style>
  <w:style w:type="paragraph" w:styleId="Retraitcorpsdetexte3">
    <w:name w:val="Body Text Indent 3"/>
    <w:basedOn w:val="Normal"/>
    <w:rsid w:val="006A0A61"/>
    <w:pPr>
      <w:ind w:left="2268"/>
      <w:jc w:val="both"/>
    </w:pPr>
    <w:rPr>
      <w:rFonts w:ascii="Univers" w:hAnsi="Univers"/>
      <w:sz w:val="22"/>
      <w:szCs w:val="22"/>
    </w:rPr>
  </w:style>
  <w:style w:type="character" w:styleId="Marquedecommentaire">
    <w:name w:val="annotation reference"/>
    <w:basedOn w:val="Policepardfaut"/>
    <w:semiHidden/>
    <w:rsid w:val="006A0A61"/>
    <w:rPr>
      <w:sz w:val="16"/>
      <w:szCs w:val="16"/>
    </w:rPr>
  </w:style>
  <w:style w:type="paragraph" w:styleId="Commentaire">
    <w:name w:val="annotation text"/>
    <w:basedOn w:val="Normal"/>
    <w:semiHidden/>
    <w:rsid w:val="006A0A61"/>
  </w:style>
  <w:style w:type="paragraph" w:styleId="Corpsdetexte">
    <w:name w:val="Body Text"/>
    <w:basedOn w:val="Normal"/>
    <w:link w:val="CorpsdetexteCar"/>
    <w:rsid w:val="006A0A61"/>
    <w:pPr>
      <w:tabs>
        <w:tab w:val="left" w:pos="1418"/>
      </w:tabs>
      <w:spacing w:before="80"/>
      <w:jc w:val="both"/>
    </w:pPr>
    <w:rPr>
      <w:rFonts w:ascii="Tahoma" w:hAnsi="Tahoma" w:cs="Tahoma"/>
      <w:sz w:val="22"/>
      <w:szCs w:val="22"/>
    </w:rPr>
  </w:style>
  <w:style w:type="paragraph" w:styleId="Corpsdetexte2">
    <w:name w:val="Body Text 2"/>
    <w:basedOn w:val="Normal"/>
    <w:rsid w:val="006A0A61"/>
    <w:pPr>
      <w:jc w:val="both"/>
    </w:pPr>
    <w:rPr>
      <w:rFonts w:ascii="Metrostyle" w:hAnsi="Metrostyle"/>
      <w:sz w:val="24"/>
      <w:szCs w:val="24"/>
    </w:rPr>
  </w:style>
  <w:style w:type="paragraph" w:styleId="Textedebulles">
    <w:name w:val="Balloon Text"/>
    <w:basedOn w:val="Normal"/>
    <w:semiHidden/>
    <w:rsid w:val="008551EC"/>
    <w:rPr>
      <w:rFonts w:ascii="Tahoma" w:hAnsi="Tahoma" w:cs="Tahoma"/>
      <w:sz w:val="16"/>
      <w:szCs w:val="16"/>
    </w:rPr>
  </w:style>
  <w:style w:type="character" w:customStyle="1" w:styleId="CorpsdetexteCar">
    <w:name w:val="Corps de texte Car"/>
    <w:basedOn w:val="Policepardfaut"/>
    <w:link w:val="Corpsdetexte"/>
    <w:rsid w:val="004F49C9"/>
    <w:rPr>
      <w:rFonts w:ascii="Tahoma" w:hAnsi="Tahoma" w:cs="Tahoma"/>
      <w:sz w:val="22"/>
      <w:szCs w:val="22"/>
    </w:rPr>
  </w:style>
  <w:style w:type="paragraph" w:customStyle="1" w:styleId="Default">
    <w:name w:val="Default"/>
    <w:rsid w:val="00FD5211"/>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1546D3"/>
    <w:pPr>
      <w:ind w:left="720"/>
      <w:contextualSpacing/>
    </w:pPr>
  </w:style>
  <w:style w:type="character" w:customStyle="1" w:styleId="Caractrestandard">
    <w:name w:val="Caractère standard"/>
    <w:rsid w:val="0070370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71A1-35B8-4C34-BA5C-287D17B5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1079</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19</cp:revision>
  <cp:lastPrinted>2016-11-28T10:15:00Z</cp:lastPrinted>
  <dcterms:created xsi:type="dcterms:W3CDTF">2016-11-18T09:10:00Z</dcterms:created>
  <dcterms:modified xsi:type="dcterms:W3CDTF">2016-12-09T13:12:00Z</dcterms:modified>
</cp:coreProperties>
</file>