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6A" w:rsidRPr="00EC59CA" w:rsidRDefault="00954E6A" w:rsidP="00F023D8">
      <w:pPr>
        <w:pStyle w:val="Titre1"/>
        <w:ind w:left="567"/>
        <w:rPr>
          <w:rFonts w:ascii="Arial" w:hAnsi="Arial" w:cs="Arial"/>
          <w:sz w:val="28"/>
          <w:szCs w:val="28"/>
        </w:rPr>
      </w:pPr>
      <w:r w:rsidRPr="00EC59CA">
        <w:rPr>
          <w:rFonts w:ascii="Arial" w:hAnsi="Arial" w:cs="Arial"/>
          <w:sz w:val="28"/>
          <w:szCs w:val="28"/>
        </w:rPr>
        <w:t>Ville de Riorges</w:t>
      </w:r>
    </w:p>
    <w:p w:rsidR="00954E6A" w:rsidRPr="00AB7D50" w:rsidRDefault="001B4CB9" w:rsidP="00FB56DB">
      <w:pPr>
        <w:pStyle w:val="Titre1"/>
        <w:tabs>
          <w:tab w:val="clear" w:pos="3402"/>
          <w:tab w:val="right" w:pos="9639"/>
        </w:tabs>
        <w:ind w:left="567"/>
        <w:rPr>
          <w:rFonts w:ascii="Arial" w:hAnsi="Arial"/>
        </w:rPr>
      </w:pPr>
      <w:r>
        <w:rPr>
          <w:rFonts w:ascii="Arial" w:hAnsi="Arial"/>
        </w:rPr>
        <w:t>Délibération du c</w:t>
      </w:r>
      <w:r w:rsidR="00954E6A" w:rsidRPr="00AB7D50">
        <w:rPr>
          <w:rFonts w:ascii="Arial" w:hAnsi="Arial"/>
        </w:rPr>
        <w:t>onseil municipal du</w:t>
      </w:r>
      <w:r w:rsidR="005A35FF">
        <w:rPr>
          <w:rFonts w:ascii="Arial" w:hAnsi="Arial"/>
        </w:rPr>
        <w:t xml:space="preserve"> </w:t>
      </w:r>
      <w:r>
        <w:rPr>
          <w:rFonts w:ascii="Arial" w:hAnsi="Arial"/>
        </w:rPr>
        <w:t>8 décembre</w:t>
      </w:r>
      <w:r w:rsidR="005A35FF">
        <w:rPr>
          <w:rFonts w:ascii="Arial" w:hAnsi="Arial"/>
        </w:rPr>
        <w:t xml:space="preserve"> </w:t>
      </w:r>
      <w:r w:rsidR="002B1639">
        <w:rPr>
          <w:rFonts w:ascii="Arial" w:hAnsi="Arial"/>
        </w:rPr>
        <w:t>2016</w:t>
      </w:r>
      <w:r w:rsidR="00FB56DB" w:rsidRPr="00AB7D50">
        <w:rPr>
          <w:rFonts w:ascii="Arial" w:hAnsi="Arial"/>
        </w:rPr>
        <w:tab/>
      </w:r>
      <w:r w:rsidR="004573B8">
        <w:rPr>
          <w:rFonts w:ascii="Arial" w:hAnsi="Arial"/>
        </w:rPr>
        <w:t>5.1</w:t>
      </w:r>
    </w:p>
    <w:p w:rsidR="007F0796" w:rsidRDefault="007F0796">
      <w:pPr>
        <w:tabs>
          <w:tab w:val="left" w:pos="1276"/>
          <w:tab w:val="left" w:pos="3402"/>
        </w:tabs>
        <w:ind w:left="2268"/>
        <w:jc w:val="center"/>
        <w:rPr>
          <w:rFonts w:ascii="Arial" w:hAnsi="Arial"/>
          <w:b/>
          <w:sz w:val="22"/>
        </w:rPr>
      </w:pPr>
    </w:p>
    <w:p w:rsidR="005C1430" w:rsidRPr="00AB7D50" w:rsidRDefault="005C1430">
      <w:pPr>
        <w:tabs>
          <w:tab w:val="left" w:pos="1276"/>
          <w:tab w:val="left" w:pos="3402"/>
        </w:tabs>
        <w:ind w:left="2268"/>
        <w:jc w:val="center"/>
        <w:rPr>
          <w:rFonts w:ascii="Arial" w:hAnsi="Arial"/>
          <w:b/>
          <w:sz w:val="22"/>
        </w:rPr>
      </w:pPr>
    </w:p>
    <w:p w:rsidR="00C75493" w:rsidRPr="00E622ED" w:rsidRDefault="00C75493" w:rsidP="00C75493">
      <w:pPr>
        <w:tabs>
          <w:tab w:val="left" w:pos="1276"/>
          <w:tab w:val="left" w:pos="3402"/>
        </w:tabs>
        <w:ind w:left="2268"/>
        <w:jc w:val="center"/>
        <w:rPr>
          <w:rFonts w:ascii="Arial" w:hAnsi="Arial" w:cs="Arial"/>
          <w:b/>
          <w:sz w:val="22"/>
        </w:rPr>
      </w:pPr>
    </w:p>
    <w:p w:rsidR="00C75493" w:rsidRPr="0020582B" w:rsidRDefault="001B4CB9" w:rsidP="00C75493">
      <w:pPr>
        <w:pStyle w:val="Titre4"/>
        <w:rPr>
          <w:sz w:val="24"/>
          <w:szCs w:val="24"/>
        </w:rPr>
      </w:pPr>
      <w:r>
        <w:rPr>
          <w:sz w:val="24"/>
          <w:szCs w:val="24"/>
        </w:rPr>
        <w:t>ACTION SOCIALE-SANTE-JEUNESSE</w:t>
      </w:r>
    </w:p>
    <w:p w:rsidR="00F803F3" w:rsidRDefault="00F803F3" w:rsidP="00F803F3">
      <w:pPr>
        <w:tabs>
          <w:tab w:val="left" w:pos="1276"/>
          <w:tab w:val="left" w:pos="3261"/>
        </w:tabs>
        <w:ind w:left="2269"/>
        <w:jc w:val="right"/>
        <w:rPr>
          <w:rFonts w:ascii="Arial" w:hAnsi="Arial"/>
          <w:b/>
          <w:sz w:val="22"/>
        </w:rPr>
      </w:pPr>
    </w:p>
    <w:p w:rsidR="009756DC" w:rsidRDefault="00120580" w:rsidP="00803052">
      <w:pPr>
        <w:pStyle w:val="Retraitcorpsdetexte3"/>
        <w:jc w:val="right"/>
        <w:rPr>
          <w:rFonts w:ascii="Arial" w:hAnsi="Arial"/>
        </w:rPr>
      </w:pPr>
      <w:r>
        <w:rPr>
          <w:rFonts w:ascii="Arial" w:hAnsi="Arial"/>
        </w:rPr>
        <w:t>CONVENTION DE GESTION URBAINE DE PROXIMITE (GUP)</w:t>
      </w:r>
    </w:p>
    <w:p w:rsidR="009756DC" w:rsidRDefault="009756DC" w:rsidP="009756DC">
      <w:pPr>
        <w:pStyle w:val="Retraitcorpsdetexte3"/>
        <w:jc w:val="right"/>
        <w:rPr>
          <w:rFonts w:ascii="Arial" w:hAnsi="Arial"/>
        </w:rPr>
      </w:pPr>
      <w:r>
        <w:rPr>
          <w:rFonts w:ascii="Arial" w:hAnsi="Arial"/>
        </w:rPr>
        <w:t>APPROBATION</w:t>
      </w:r>
    </w:p>
    <w:p w:rsidR="009756DC" w:rsidRDefault="009756DC" w:rsidP="009756DC">
      <w:pPr>
        <w:ind w:left="1418" w:hanging="1"/>
        <w:jc w:val="both"/>
        <w:rPr>
          <w:rFonts w:ascii="Arial" w:hAnsi="Arial"/>
          <w:sz w:val="22"/>
        </w:rPr>
      </w:pPr>
    </w:p>
    <w:p w:rsidR="00F22456" w:rsidRDefault="00F22456" w:rsidP="009756DC">
      <w:pPr>
        <w:ind w:left="1418" w:hanging="1"/>
        <w:jc w:val="both"/>
        <w:rPr>
          <w:rFonts w:ascii="Arial" w:hAnsi="Arial"/>
          <w:sz w:val="22"/>
        </w:rPr>
      </w:pPr>
    </w:p>
    <w:p w:rsidR="007461AE" w:rsidRDefault="007461AE" w:rsidP="009756DC">
      <w:pPr>
        <w:ind w:left="1418" w:hanging="1"/>
        <w:jc w:val="both"/>
        <w:rPr>
          <w:rFonts w:ascii="Arial" w:hAnsi="Arial"/>
          <w:sz w:val="22"/>
        </w:rPr>
      </w:pPr>
    </w:p>
    <w:p w:rsidR="00B6513E" w:rsidRDefault="00B6513E" w:rsidP="009756DC">
      <w:pPr>
        <w:ind w:left="1418" w:hanging="1"/>
        <w:jc w:val="both"/>
        <w:rPr>
          <w:rFonts w:ascii="Arial" w:hAnsi="Arial"/>
          <w:sz w:val="22"/>
        </w:rPr>
      </w:pPr>
    </w:p>
    <w:p w:rsidR="00F22456" w:rsidRDefault="00F22456" w:rsidP="00F22456">
      <w:pPr>
        <w:ind w:left="1418"/>
        <w:jc w:val="both"/>
        <w:rPr>
          <w:rFonts w:ascii="Arial" w:hAnsi="Arial"/>
          <w:sz w:val="22"/>
        </w:rPr>
      </w:pPr>
      <w:r>
        <w:rPr>
          <w:rFonts w:ascii="Arial" w:hAnsi="Arial"/>
          <w:sz w:val="22"/>
        </w:rPr>
        <w:t>A la suite du rapport présenté par Alain CHAUDAGNE, adjoint, délégué à la défense et à l'accessibilité :</w:t>
      </w:r>
    </w:p>
    <w:p w:rsidR="007902E6" w:rsidRDefault="007902E6" w:rsidP="009756DC">
      <w:pPr>
        <w:ind w:left="1418" w:hanging="1"/>
        <w:jc w:val="both"/>
        <w:rPr>
          <w:rFonts w:ascii="Arial" w:hAnsi="Arial"/>
          <w:sz w:val="22"/>
        </w:rPr>
      </w:pPr>
    </w:p>
    <w:p w:rsidR="00C91317" w:rsidRDefault="00C91317" w:rsidP="00CE0236">
      <w:pPr>
        <w:pStyle w:val="Default"/>
        <w:ind w:left="1418"/>
        <w:jc w:val="both"/>
        <w:rPr>
          <w:color w:val="auto"/>
          <w:sz w:val="22"/>
          <w:szCs w:val="22"/>
        </w:rPr>
      </w:pPr>
      <w:r w:rsidRPr="00C91317">
        <w:rPr>
          <w:color w:val="auto"/>
          <w:sz w:val="22"/>
          <w:szCs w:val="22"/>
        </w:rPr>
        <w:t xml:space="preserve">Vu l’article L5216-5 du Code général des collectivités territoriales, relatif à la compétence obligatoire </w:t>
      </w:r>
      <w:r w:rsidR="00CE0236">
        <w:rPr>
          <w:color w:val="auto"/>
          <w:sz w:val="22"/>
          <w:szCs w:val="22"/>
        </w:rPr>
        <w:t>"Politique de la ville"</w:t>
      </w:r>
      <w:r w:rsidRPr="00C91317">
        <w:rPr>
          <w:color w:val="auto"/>
          <w:sz w:val="22"/>
          <w:szCs w:val="22"/>
        </w:rPr>
        <w:t xml:space="preserve"> ; </w:t>
      </w:r>
    </w:p>
    <w:p w:rsidR="00CE0236" w:rsidRPr="00C91317" w:rsidRDefault="00CE0236" w:rsidP="00CE0236">
      <w:pPr>
        <w:pStyle w:val="Default"/>
        <w:ind w:left="1418"/>
        <w:jc w:val="both"/>
        <w:rPr>
          <w:color w:val="auto"/>
          <w:sz w:val="22"/>
          <w:szCs w:val="22"/>
        </w:rPr>
      </w:pPr>
    </w:p>
    <w:p w:rsidR="00C91317" w:rsidRDefault="00C91317" w:rsidP="00CE0236">
      <w:pPr>
        <w:pStyle w:val="Default"/>
        <w:ind w:left="1418"/>
        <w:jc w:val="both"/>
        <w:rPr>
          <w:color w:val="auto"/>
          <w:sz w:val="22"/>
          <w:szCs w:val="22"/>
        </w:rPr>
      </w:pPr>
      <w:r w:rsidRPr="00C91317">
        <w:rPr>
          <w:color w:val="auto"/>
          <w:sz w:val="22"/>
          <w:szCs w:val="22"/>
        </w:rPr>
        <w:t>Vu l'article 1388 bis du Code général des impôts, relatif à la taxe foncière sur</w:t>
      </w:r>
      <w:r w:rsidR="00CE0236">
        <w:rPr>
          <w:color w:val="auto"/>
          <w:sz w:val="22"/>
          <w:szCs w:val="22"/>
        </w:rPr>
        <w:t xml:space="preserve"> les propriétés bâties (TFPB) ;</w:t>
      </w:r>
    </w:p>
    <w:p w:rsidR="00CE0236" w:rsidRPr="00C91317" w:rsidRDefault="00CE0236" w:rsidP="00CE0236">
      <w:pPr>
        <w:pStyle w:val="Default"/>
        <w:ind w:left="1418"/>
        <w:jc w:val="both"/>
        <w:rPr>
          <w:color w:val="auto"/>
          <w:sz w:val="22"/>
          <w:szCs w:val="22"/>
        </w:rPr>
      </w:pPr>
    </w:p>
    <w:p w:rsidR="00C91317" w:rsidRDefault="00C91317" w:rsidP="00CE0236">
      <w:pPr>
        <w:pStyle w:val="Default"/>
        <w:ind w:left="1418"/>
        <w:jc w:val="both"/>
        <w:rPr>
          <w:color w:val="auto"/>
          <w:sz w:val="22"/>
          <w:szCs w:val="22"/>
        </w:rPr>
      </w:pPr>
      <w:r w:rsidRPr="00C91317">
        <w:rPr>
          <w:color w:val="auto"/>
          <w:sz w:val="22"/>
          <w:szCs w:val="22"/>
        </w:rPr>
        <w:t xml:space="preserve">Vu la loi de finances pour 2015, qui a étendu l’abattement de 30 % sur la base d’imposition à la TFPB dont bénéficiaient les bailleurs pour leur patrimoine situé dans les quartiers prioritaires situés dans les 1 500 quartiers </w:t>
      </w:r>
      <w:r w:rsidR="00CE0236">
        <w:rPr>
          <w:color w:val="auto"/>
          <w:sz w:val="22"/>
          <w:szCs w:val="22"/>
        </w:rPr>
        <w:t>"Politique de la ville" ;</w:t>
      </w:r>
    </w:p>
    <w:p w:rsidR="00CE0236" w:rsidRPr="00C91317" w:rsidRDefault="00CE0236" w:rsidP="00CE0236">
      <w:pPr>
        <w:pStyle w:val="Default"/>
        <w:ind w:left="1418"/>
        <w:jc w:val="both"/>
        <w:rPr>
          <w:color w:val="auto"/>
          <w:sz w:val="22"/>
          <w:szCs w:val="22"/>
        </w:rPr>
      </w:pPr>
    </w:p>
    <w:p w:rsidR="00C91317" w:rsidRDefault="00C91317" w:rsidP="00CE0236">
      <w:pPr>
        <w:pStyle w:val="Default"/>
        <w:ind w:left="1418"/>
        <w:jc w:val="both"/>
        <w:rPr>
          <w:color w:val="auto"/>
          <w:sz w:val="22"/>
          <w:szCs w:val="22"/>
        </w:rPr>
      </w:pPr>
      <w:r w:rsidRPr="00C91317">
        <w:rPr>
          <w:color w:val="auto"/>
          <w:sz w:val="22"/>
          <w:szCs w:val="22"/>
        </w:rPr>
        <w:t xml:space="preserve">Vu l’arrêté préfectoral du 12 novembre 2013, portant statuts de Roannais Agglomération, notamment la compétence obligatoire </w:t>
      </w:r>
      <w:r w:rsidR="00CE0236">
        <w:rPr>
          <w:color w:val="auto"/>
          <w:sz w:val="22"/>
          <w:szCs w:val="22"/>
        </w:rPr>
        <w:t>"Equilibre social de l’habitat" ;</w:t>
      </w:r>
    </w:p>
    <w:p w:rsidR="00CE0236" w:rsidRPr="00C91317" w:rsidRDefault="00CE0236" w:rsidP="00CE0236">
      <w:pPr>
        <w:pStyle w:val="Default"/>
        <w:ind w:left="1418"/>
        <w:jc w:val="both"/>
        <w:rPr>
          <w:color w:val="auto"/>
          <w:sz w:val="22"/>
          <w:szCs w:val="22"/>
        </w:rPr>
      </w:pPr>
    </w:p>
    <w:p w:rsidR="00C91317" w:rsidRDefault="00C91317" w:rsidP="00CE0236">
      <w:pPr>
        <w:pStyle w:val="Default"/>
        <w:ind w:left="1418"/>
        <w:jc w:val="both"/>
        <w:rPr>
          <w:color w:val="auto"/>
          <w:sz w:val="22"/>
          <w:szCs w:val="22"/>
        </w:rPr>
      </w:pPr>
      <w:r w:rsidRPr="00C91317">
        <w:rPr>
          <w:color w:val="auto"/>
          <w:sz w:val="22"/>
          <w:szCs w:val="22"/>
        </w:rPr>
        <w:t xml:space="preserve">Considérant que la base d'imposition à la taxe foncière sur les propriétés bâties des logements à usage locatif fait </w:t>
      </w:r>
      <w:r w:rsidR="00CE0236">
        <w:rPr>
          <w:color w:val="auto"/>
          <w:sz w:val="22"/>
          <w:szCs w:val="22"/>
        </w:rPr>
        <w:t>l'objet d'un abattement de 30 %</w:t>
      </w:r>
      <w:r w:rsidRPr="00C91317">
        <w:rPr>
          <w:color w:val="auto"/>
          <w:sz w:val="22"/>
          <w:szCs w:val="22"/>
        </w:rPr>
        <w:t xml:space="preserve"> lorsque ces logements sont situés dans un quartier prioritair</w:t>
      </w:r>
      <w:r w:rsidR="00CE0236">
        <w:rPr>
          <w:color w:val="auto"/>
          <w:sz w:val="22"/>
          <w:szCs w:val="22"/>
        </w:rPr>
        <w:t>e de la politique de la ville ;</w:t>
      </w:r>
    </w:p>
    <w:p w:rsidR="00CE0236" w:rsidRPr="00C91317" w:rsidRDefault="00CE0236" w:rsidP="00CE0236">
      <w:pPr>
        <w:pStyle w:val="Default"/>
        <w:ind w:left="1418"/>
        <w:jc w:val="both"/>
        <w:rPr>
          <w:color w:val="auto"/>
          <w:sz w:val="22"/>
          <w:szCs w:val="22"/>
        </w:rPr>
      </w:pPr>
    </w:p>
    <w:p w:rsidR="00C91317" w:rsidRDefault="00C91317" w:rsidP="00CE0236">
      <w:pPr>
        <w:pStyle w:val="Default"/>
        <w:ind w:left="1418"/>
        <w:jc w:val="both"/>
        <w:rPr>
          <w:color w:val="auto"/>
          <w:sz w:val="22"/>
          <w:szCs w:val="22"/>
        </w:rPr>
      </w:pPr>
      <w:r w:rsidRPr="00C91317">
        <w:rPr>
          <w:color w:val="auto"/>
          <w:sz w:val="22"/>
          <w:szCs w:val="22"/>
        </w:rPr>
        <w:t>Considérant que cet abattement s'applique aux logements dont le propriétaire est signataire d’un contrat de ville,</w:t>
      </w:r>
      <w:r w:rsidR="00CE0236">
        <w:rPr>
          <w:color w:val="auto"/>
          <w:sz w:val="22"/>
          <w:szCs w:val="22"/>
        </w:rPr>
        <w:t xml:space="preserve"> dans les quartiers concernés ;</w:t>
      </w:r>
    </w:p>
    <w:p w:rsidR="00CE0236" w:rsidRPr="00C91317" w:rsidRDefault="00CE0236" w:rsidP="00CE0236">
      <w:pPr>
        <w:pStyle w:val="Default"/>
        <w:ind w:left="1418"/>
        <w:jc w:val="both"/>
        <w:rPr>
          <w:color w:val="auto"/>
          <w:sz w:val="22"/>
          <w:szCs w:val="22"/>
        </w:rPr>
      </w:pPr>
    </w:p>
    <w:p w:rsidR="00C91317" w:rsidRDefault="00C91317" w:rsidP="00CE0236">
      <w:pPr>
        <w:pStyle w:val="Default"/>
        <w:ind w:left="1418"/>
        <w:jc w:val="both"/>
        <w:rPr>
          <w:color w:val="auto"/>
          <w:sz w:val="22"/>
          <w:szCs w:val="22"/>
        </w:rPr>
      </w:pPr>
      <w:r w:rsidRPr="00C91317">
        <w:rPr>
          <w:color w:val="auto"/>
          <w:sz w:val="22"/>
          <w:szCs w:val="22"/>
        </w:rPr>
        <w:t xml:space="preserve">Considérant que l'abattement s'applique aux impositions établies au titre des années 2016 à 2020, à compter de l'année qui suit celle de la </w:t>
      </w:r>
      <w:r w:rsidR="00CE0236">
        <w:rPr>
          <w:color w:val="auto"/>
          <w:sz w:val="22"/>
          <w:szCs w:val="22"/>
        </w:rPr>
        <w:t>signature du contrat de ville ;</w:t>
      </w:r>
    </w:p>
    <w:p w:rsidR="00CE0236" w:rsidRPr="00C91317" w:rsidRDefault="00CE0236" w:rsidP="00CE0236">
      <w:pPr>
        <w:pStyle w:val="Default"/>
        <w:ind w:left="1418"/>
        <w:jc w:val="both"/>
        <w:rPr>
          <w:color w:val="auto"/>
          <w:sz w:val="22"/>
          <w:szCs w:val="22"/>
        </w:rPr>
      </w:pPr>
    </w:p>
    <w:p w:rsidR="00C91317" w:rsidRDefault="00C91317" w:rsidP="00CE0236">
      <w:pPr>
        <w:pStyle w:val="Default"/>
        <w:ind w:left="1418"/>
        <w:jc w:val="both"/>
        <w:rPr>
          <w:color w:val="auto"/>
          <w:sz w:val="22"/>
          <w:szCs w:val="22"/>
        </w:rPr>
      </w:pPr>
      <w:r w:rsidRPr="00C91317">
        <w:rPr>
          <w:color w:val="auto"/>
          <w:sz w:val="22"/>
          <w:szCs w:val="22"/>
        </w:rPr>
        <w:t xml:space="preserve">Considérant que le contrat de ville 2015-2020, approuvé par le conseil communautaire, le 25 juin 2015, et signé le 6 juillet 2015, concerne </w:t>
      </w:r>
      <w:r w:rsidR="00CE0236">
        <w:rPr>
          <w:color w:val="auto"/>
          <w:sz w:val="22"/>
          <w:szCs w:val="22"/>
        </w:rPr>
        <w:t>trois</w:t>
      </w:r>
      <w:r w:rsidRPr="00C91317">
        <w:rPr>
          <w:color w:val="auto"/>
          <w:sz w:val="22"/>
          <w:szCs w:val="22"/>
        </w:rPr>
        <w:t xml:space="preserve"> quartiers prioritaires situés sur la ville de Roanne : Le Parc, Bourgogne (nouveau quartier) et le Mayollet, et quatre quartiers de "veille active" : Riorges centre, Les Tuileries, Billodière-Noyo</w:t>
      </w:r>
      <w:r w:rsidR="00CE0236">
        <w:rPr>
          <w:color w:val="auto"/>
          <w:sz w:val="22"/>
          <w:szCs w:val="22"/>
        </w:rPr>
        <w:t>n à Mably et Mulsant à Roanne ;</w:t>
      </w:r>
    </w:p>
    <w:p w:rsidR="00CE0236" w:rsidRPr="00C91317" w:rsidRDefault="00CE0236" w:rsidP="00CE0236">
      <w:pPr>
        <w:pStyle w:val="Default"/>
        <w:ind w:left="1418"/>
        <w:jc w:val="both"/>
        <w:rPr>
          <w:color w:val="auto"/>
          <w:sz w:val="22"/>
          <w:szCs w:val="22"/>
        </w:rPr>
      </w:pPr>
    </w:p>
    <w:p w:rsidR="00C91317" w:rsidRDefault="00C91317" w:rsidP="00CE0236">
      <w:pPr>
        <w:pStyle w:val="Default"/>
        <w:ind w:left="1418"/>
        <w:jc w:val="both"/>
        <w:rPr>
          <w:color w:val="auto"/>
          <w:sz w:val="22"/>
          <w:szCs w:val="22"/>
        </w:rPr>
      </w:pPr>
      <w:r w:rsidRPr="00C91317">
        <w:rPr>
          <w:color w:val="auto"/>
          <w:sz w:val="22"/>
          <w:szCs w:val="22"/>
        </w:rPr>
        <w:t>Considérant que Roannais Agglomération, les villes de Roanne, Mably et Riorges, Ophéor, Loire Habitat et l'Etat soucieux d'une part de mobiliser cet allègement fiscal issu de l’économie générée par une partie de la taxe sur les propriétés bâties et d'autre part d'améliorer la qualité de vie au quotidien des habitants des quartiers politique de la ville (prioritaires et de veille) ont décidé de contracter une convention de GU</w:t>
      </w:r>
      <w:r w:rsidR="00CE0236">
        <w:rPr>
          <w:color w:val="auto"/>
          <w:sz w:val="22"/>
          <w:szCs w:val="22"/>
        </w:rPr>
        <w:t>P ;</w:t>
      </w:r>
    </w:p>
    <w:p w:rsidR="00CE0236" w:rsidRPr="00C91317" w:rsidRDefault="00CE0236" w:rsidP="00CE0236">
      <w:pPr>
        <w:pStyle w:val="Default"/>
        <w:ind w:left="1418"/>
        <w:jc w:val="both"/>
        <w:rPr>
          <w:color w:val="auto"/>
          <w:sz w:val="22"/>
          <w:szCs w:val="22"/>
        </w:rPr>
      </w:pPr>
    </w:p>
    <w:p w:rsidR="00C91317" w:rsidRDefault="00C91317" w:rsidP="00CE0236">
      <w:pPr>
        <w:pStyle w:val="Default"/>
        <w:ind w:left="1418"/>
        <w:jc w:val="both"/>
        <w:rPr>
          <w:color w:val="auto"/>
          <w:sz w:val="22"/>
          <w:szCs w:val="22"/>
        </w:rPr>
      </w:pPr>
      <w:r w:rsidRPr="00C91317">
        <w:rPr>
          <w:color w:val="auto"/>
          <w:sz w:val="22"/>
          <w:szCs w:val="22"/>
        </w:rPr>
        <w:t xml:space="preserve">Considérant que cette convention de GUP sera annexée au contrat de ville ; </w:t>
      </w:r>
    </w:p>
    <w:p w:rsidR="00CE0236" w:rsidRDefault="00CE0236" w:rsidP="00CE0236">
      <w:pPr>
        <w:pStyle w:val="Default"/>
        <w:ind w:left="1418"/>
        <w:jc w:val="both"/>
        <w:rPr>
          <w:color w:val="auto"/>
          <w:sz w:val="22"/>
          <w:szCs w:val="22"/>
        </w:rPr>
      </w:pPr>
    </w:p>
    <w:p w:rsidR="007902E6" w:rsidRDefault="007902E6" w:rsidP="00CE0236">
      <w:pPr>
        <w:pStyle w:val="Default"/>
        <w:ind w:left="1418"/>
        <w:jc w:val="both"/>
        <w:rPr>
          <w:color w:val="auto"/>
          <w:sz w:val="22"/>
          <w:szCs w:val="22"/>
        </w:rPr>
      </w:pPr>
    </w:p>
    <w:p w:rsidR="007902E6" w:rsidRDefault="007902E6" w:rsidP="00CE0236">
      <w:pPr>
        <w:pStyle w:val="Default"/>
        <w:ind w:left="1418"/>
        <w:jc w:val="both"/>
        <w:rPr>
          <w:color w:val="auto"/>
          <w:sz w:val="22"/>
          <w:szCs w:val="22"/>
        </w:rPr>
      </w:pPr>
    </w:p>
    <w:p w:rsidR="007902E6" w:rsidRDefault="007902E6" w:rsidP="00CE0236">
      <w:pPr>
        <w:pStyle w:val="Default"/>
        <w:ind w:left="1418"/>
        <w:jc w:val="both"/>
        <w:rPr>
          <w:color w:val="auto"/>
          <w:sz w:val="22"/>
          <w:szCs w:val="22"/>
        </w:rPr>
      </w:pPr>
    </w:p>
    <w:p w:rsidR="007902E6" w:rsidRPr="00C91317" w:rsidRDefault="007902E6" w:rsidP="00CE0236">
      <w:pPr>
        <w:pStyle w:val="Default"/>
        <w:ind w:left="1418"/>
        <w:jc w:val="both"/>
        <w:rPr>
          <w:color w:val="auto"/>
          <w:sz w:val="22"/>
          <w:szCs w:val="22"/>
        </w:rPr>
      </w:pPr>
      <w:bookmarkStart w:id="0" w:name="_GoBack"/>
      <w:bookmarkEnd w:id="0"/>
    </w:p>
    <w:p w:rsidR="00C91317" w:rsidRPr="00C91317" w:rsidRDefault="00C91317" w:rsidP="00CE0236">
      <w:pPr>
        <w:pStyle w:val="Default"/>
        <w:ind w:left="1418"/>
        <w:jc w:val="both"/>
        <w:rPr>
          <w:color w:val="auto"/>
          <w:sz w:val="22"/>
          <w:szCs w:val="22"/>
        </w:rPr>
      </w:pPr>
      <w:r w:rsidRPr="00C91317">
        <w:rPr>
          <w:color w:val="auto"/>
          <w:sz w:val="22"/>
          <w:szCs w:val="22"/>
        </w:rPr>
        <w:t xml:space="preserve">Considérant que cette convention s’appuie sur </w:t>
      </w:r>
      <w:r w:rsidR="007902E6">
        <w:rPr>
          <w:color w:val="auto"/>
          <w:sz w:val="22"/>
          <w:szCs w:val="22"/>
        </w:rPr>
        <w:t>trois</w:t>
      </w:r>
      <w:r w:rsidRPr="00C91317">
        <w:rPr>
          <w:color w:val="auto"/>
          <w:sz w:val="22"/>
          <w:szCs w:val="22"/>
        </w:rPr>
        <w:t xml:space="preserve"> axes d’interventions prioritaires qui se déclinent dans le cadre d’un programme d’actions par maîtres d’ouvrage : </w:t>
      </w:r>
    </w:p>
    <w:p w:rsidR="00C91317" w:rsidRPr="00C91317" w:rsidRDefault="00CE0236" w:rsidP="007902E6">
      <w:pPr>
        <w:pStyle w:val="Default"/>
        <w:spacing w:before="20"/>
        <w:ind w:left="1418"/>
        <w:jc w:val="both"/>
        <w:rPr>
          <w:color w:val="auto"/>
          <w:sz w:val="22"/>
          <w:szCs w:val="22"/>
        </w:rPr>
      </w:pPr>
      <w:r w:rsidRPr="00C91317">
        <w:rPr>
          <w:color w:val="auto"/>
          <w:sz w:val="22"/>
          <w:szCs w:val="22"/>
        </w:rPr>
        <w:t>- axe 1 : am</w:t>
      </w:r>
      <w:r>
        <w:rPr>
          <w:color w:val="auto"/>
          <w:sz w:val="22"/>
          <w:szCs w:val="22"/>
        </w:rPr>
        <w:t>é</w:t>
      </w:r>
      <w:r w:rsidRPr="00C91317">
        <w:rPr>
          <w:color w:val="auto"/>
          <w:sz w:val="22"/>
          <w:szCs w:val="22"/>
        </w:rPr>
        <w:t xml:space="preserve">lioration du cadre de vie des habitants </w:t>
      </w:r>
      <w:r>
        <w:rPr>
          <w:color w:val="auto"/>
          <w:sz w:val="22"/>
          <w:szCs w:val="22"/>
        </w:rPr>
        <w:t>;</w:t>
      </w:r>
    </w:p>
    <w:p w:rsidR="00C91317" w:rsidRPr="00C91317" w:rsidRDefault="00CE0236" w:rsidP="007902E6">
      <w:pPr>
        <w:pStyle w:val="Default"/>
        <w:spacing w:before="20"/>
        <w:ind w:left="1418"/>
        <w:jc w:val="both"/>
        <w:rPr>
          <w:color w:val="auto"/>
          <w:sz w:val="22"/>
          <w:szCs w:val="22"/>
        </w:rPr>
      </w:pPr>
      <w:r w:rsidRPr="00C91317">
        <w:rPr>
          <w:color w:val="auto"/>
          <w:sz w:val="22"/>
          <w:szCs w:val="22"/>
        </w:rPr>
        <w:t xml:space="preserve">- axe 2 : la relation aux habitants </w:t>
      </w:r>
      <w:r w:rsidR="007902E6">
        <w:rPr>
          <w:color w:val="auto"/>
          <w:sz w:val="22"/>
          <w:szCs w:val="22"/>
        </w:rPr>
        <w:t>;</w:t>
      </w:r>
    </w:p>
    <w:p w:rsidR="00C91317" w:rsidRDefault="00CE0236" w:rsidP="007902E6">
      <w:pPr>
        <w:pStyle w:val="Default"/>
        <w:spacing w:before="20"/>
        <w:ind w:left="1418"/>
        <w:jc w:val="both"/>
        <w:rPr>
          <w:color w:val="auto"/>
          <w:sz w:val="22"/>
          <w:szCs w:val="22"/>
        </w:rPr>
      </w:pPr>
      <w:r w:rsidRPr="00C91317">
        <w:rPr>
          <w:color w:val="auto"/>
          <w:sz w:val="22"/>
          <w:szCs w:val="22"/>
        </w:rPr>
        <w:t>- axe 3 : le respect de la tranquillit</w:t>
      </w:r>
      <w:r>
        <w:rPr>
          <w:color w:val="auto"/>
          <w:sz w:val="22"/>
          <w:szCs w:val="22"/>
        </w:rPr>
        <w:t>é</w:t>
      </w:r>
      <w:r w:rsidRPr="00C91317">
        <w:rPr>
          <w:color w:val="auto"/>
          <w:sz w:val="22"/>
          <w:szCs w:val="22"/>
        </w:rPr>
        <w:t xml:space="preserve"> et </w:t>
      </w:r>
      <w:r>
        <w:rPr>
          <w:color w:val="auto"/>
          <w:sz w:val="22"/>
          <w:szCs w:val="22"/>
        </w:rPr>
        <w:t xml:space="preserve">le </w:t>
      </w:r>
      <w:r w:rsidRPr="00C91317">
        <w:rPr>
          <w:color w:val="auto"/>
          <w:sz w:val="22"/>
          <w:szCs w:val="22"/>
        </w:rPr>
        <w:t>traitement des incivilit</w:t>
      </w:r>
      <w:r w:rsidR="007902E6">
        <w:rPr>
          <w:color w:val="auto"/>
          <w:sz w:val="22"/>
          <w:szCs w:val="22"/>
        </w:rPr>
        <w:t>és ;</w:t>
      </w:r>
    </w:p>
    <w:p w:rsidR="007902E6" w:rsidRDefault="007902E6" w:rsidP="00CE0236">
      <w:pPr>
        <w:pStyle w:val="Default"/>
        <w:ind w:left="1418"/>
        <w:jc w:val="both"/>
        <w:rPr>
          <w:color w:val="auto"/>
          <w:sz w:val="22"/>
          <w:szCs w:val="22"/>
        </w:rPr>
      </w:pPr>
    </w:p>
    <w:p w:rsidR="00BC0E9C" w:rsidRDefault="00BC0E9C" w:rsidP="0015752D">
      <w:pPr>
        <w:ind w:left="1418"/>
        <w:jc w:val="both"/>
        <w:rPr>
          <w:rFonts w:ascii="Arial" w:hAnsi="Arial"/>
          <w:sz w:val="22"/>
          <w:szCs w:val="22"/>
        </w:rPr>
      </w:pPr>
      <w:r>
        <w:rPr>
          <w:rFonts w:ascii="Arial" w:hAnsi="Arial"/>
          <w:sz w:val="22"/>
          <w:szCs w:val="22"/>
        </w:rPr>
        <w:t xml:space="preserve">Après en avoir délibéré, le conseil municipal, à </w:t>
      </w:r>
      <w:r w:rsidR="00F22456">
        <w:rPr>
          <w:rFonts w:ascii="Arial" w:hAnsi="Arial"/>
          <w:sz w:val="22"/>
          <w:szCs w:val="22"/>
        </w:rPr>
        <w:t>l'unanimité :</w:t>
      </w:r>
    </w:p>
    <w:p w:rsidR="00D84C2F" w:rsidRDefault="00BC0E9C" w:rsidP="002C2F82">
      <w:pPr>
        <w:pStyle w:val="Default"/>
        <w:numPr>
          <w:ilvl w:val="0"/>
          <w:numId w:val="45"/>
        </w:numPr>
        <w:spacing w:before="120"/>
        <w:ind w:left="1702" w:hanging="284"/>
        <w:jc w:val="both"/>
        <w:rPr>
          <w:color w:val="auto"/>
          <w:sz w:val="22"/>
          <w:szCs w:val="22"/>
        </w:rPr>
      </w:pPr>
      <w:r>
        <w:rPr>
          <w:color w:val="auto"/>
          <w:sz w:val="22"/>
          <w:szCs w:val="22"/>
        </w:rPr>
        <w:t>approuve</w:t>
      </w:r>
      <w:r w:rsidR="002C2F82">
        <w:rPr>
          <w:color w:val="auto"/>
          <w:sz w:val="22"/>
          <w:szCs w:val="22"/>
        </w:rPr>
        <w:t xml:space="preserve"> la convention GUP à passer avec l'Etat,</w:t>
      </w:r>
      <w:r>
        <w:rPr>
          <w:color w:val="auto"/>
          <w:sz w:val="22"/>
          <w:szCs w:val="22"/>
        </w:rPr>
        <w:t xml:space="preserve"> Roannais Agglomération,</w:t>
      </w:r>
      <w:r w:rsidR="002C2F82">
        <w:rPr>
          <w:color w:val="auto"/>
          <w:sz w:val="22"/>
          <w:szCs w:val="22"/>
        </w:rPr>
        <w:t xml:space="preserve"> les villes de Roanne</w:t>
      </w:r>
      <w:r>
        <w:rPr>
          <w:color w:val="auto"/>
          <w:sz w:val="22"/>
          <w:szCs w:val="22"/>
        </w:rPr>
        <w:t xml:space="preserve"> et </w:t>
      </w:r>
      <w:r w:rsidR="002C2F82">
        <w:rPr>
          <w:color w:val="auto"/>
          <w:sz w:val="22"/>
          <w:szCs w:val="22"/>
        </w:rPr>
        <w:t>Mably, et les bailleurs OPHEOR et Loire Habitat, dont le projet est joint à la présente délibération ;</w:t>
      </w:r>
    </w:p>
    <w:p w:rsidR="002C2F82" w:rsidRDefault="002C2F82" w:rsidP="002C2F82">
      <w:pPr>
        <w:pStyle w:val="Default"/>
        <w:numPr>
          <w:ilvl w:val="0"/>
          <w:numId w:val="45"/>
        </w:numPr>
        <w:spacing w:before="120"/>
        <w:ind w:left="1702" w:hanging="284"/>
        <w:jc w:val="both"/>
        <w:rPr>
          <w:color w:val="auto"/>
          <w:sz w:val="22"/>
          <w:szCs w:val="22"/>
        </w:rPr>
      </w:pPr>
      <w:r>
        <w:rPr>
          <w:color w:val="auto"/>
          <w:sz w:val="22"/>
          <w:szCs w:val="22"/>
        </w:rPr>
        <w:t>précise que cette convention sera annexée au contrat de ville et que son terme est fixé à 2020 ;</w:t>
      </w:r>
    </w:p>
    <w:p w:rsidR="002C2F82" w:rsidRDefault="00BC0E9C" w:rsidP="002C2F82">
      <w:pPr>
        <w:pStyle w:val="Default"/>
        <w:numPr>
          <w:ilvl w:val="0"/>
          <w:numId w:val="45"/>
        </w:numPr>
        <w:spacing w:before="120"/>
        <w:ind w:left="1702" w:hanging="284"/>
        <w:jc w:val="both"/>
        <w:rPr>
          <w:color w:val="auto"/>
          <w:sz w:val="22"/>
          <w:szCs w:val="22"/>
        </w:rPr>
      </w:pPr>
      <w:r>
        <w:rPr>
          <w:color w:val="auto"/>
          <w:sz w:val="22"/>
          <w:szCs w:val="22"/>
        </w:rPr>
        <w:t>autorise</w:t>
      </w:r>
      <w:r w:rsidR="002C2F82">
        <w:rPr>
          <w:color w:val="auto"/>
          <w:sz w:val="22"/>
          <w:szCs w:val="22"/>
        </w:rPr>
        <w:t xml:space="preserve"> le Maire à signer ladite convention.</w:t>
      </w:r>
    </w:p>
    <w:p w:rsidR="00D84C2F" w:rsidRDefault="00D84C2F" w:rsidP="00CE0236">
      <w:pPr>
        <w:pStyle w:val="Default"/>
        <w:ind w:left="1418"/>
        <w:jc w:val="both"/>
        <w:rPr>
          <w:color w:val="auto"/>
          <w:sz w:val="22"/>
          <w:szCs w:val="22"/>
        </w:rPr>
      </w:pPr>
    </w:p>
    <w:p w:rsidR="0066466E" w:rsidRDefault="0066466E" w:rsidP="00CE0236">
      <w:pPr>
        <w:pStyle w:val="Default"/>
        <w:ind w:left="1418"/>
        <w:jc w:val="both"/>
        <w:rPr>
          <w:color w:val="auto"/>
          <w:sz w:val="22"/>
          <w:szCs w:val="22"/>
        </w:rPr>
      </w:pPr>
    </w:p>
    <w:p w:rsidR="0066466E" w:rsidRDefault="0066466E" w:rsidP="00CE0236">
      <w:pPr>
        <w:pStyle w:val="Default"/>
        <w:ind w:left="1418"/>
        <w:jc w:val="both"/>
        <w:rPr>
          <w:color w:val="auto"/>
          <w:sz w:val="22"/>
          <w:szCs w:val="22"/>
        </w:rPr>
      </w:pPr>
    </w:p>
    <w:sectPr w:rsidR="0066466E" w:rsidSect="00A64614">
      <w:headerReference w:type="even" r:id="rId9"/>
      <w:headerReference w:type="default" r:id="rId10"/>
      <w:footerReference w:type="first" r:id="rId11"/>
      <w:pgSz w:w="11907" w:h="16840"/>
      <w:pgMar w:top="567" w:right="1701" w:bottom="1985"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C2F" w:rsidRDefault="00D84C2F">
      <w:r>
        <w:separator/>
      </w:r>
    </w:p>
  </w:endnote>
  <w:endnote w:type="continuationSeparator" w:id="0">
    <w:p w:rsidR="00D84C2F" w:rsidRDefault="00D8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2F" w:rsidRDefault="00D84C2F" w:rsidP="00CE0236">
    <w:pPr>
      <w:pStyle w:val="Pieddepage"/>
      <w:jc w:val="right"/>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C2F" w:rsidRDefault="00D84C2F">
      <w:r>
        <w:separator/>
      </w:r>
    </w:p>
  </w:footnote>
  <w:footnote w:type="continuationSeparator" w:id="0">
    <w:p w:rsidR="00D84C2F" w:rsidRDefault="00D84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2F" w:rsidRDefault="00D84C2F">
    <w:pPr>
      <w:pStyle w:val="En-tte"/>
      <w:ind w:firstLine="1418"/>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C2F" w:rsidRDefault="00D84C2F">
    <w:pPr>
      <w:pStyle w:val="En-tte"/>
      <w:ind w:firstLine="2268"/>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0E4729"/>
    <w:multiLevelType w:val="hybridMultilevel"/>
    <w:tmpl w:val="4830D454"/>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3DF07F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8181715"/>
    <w:multiLevelType w:val="hybridMultilevel"/>
    <w:tmpl w:val="538A32F6"/>
    <w:lvl w:ilvl="0" w:tplc="327E54D0">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6">
    <w:nsid w:val="24A04E41"/>
    <w:multiLevelType w:val="hybridMultilevel"/>
    <w:tmpl w:val="7706A6F8"/>
    <w:lvl w:ilvl="0" w:tplc="040C0001">
      <w:start w:val="1"/>
      <w:numFmt w:val="bullet"/>
      <w:lvlText w:val=""/>
      <w:lvlJc w:val="left"/>
      <w:pPr>
        <w:tabs>
          <w:tab w:val="num" w:pos="2137"/>
        </w:tabs>
        <w:ind w:left="2137" w:hanging="360"/>
      </w:pPr>
      <w:rPr>
        <w:rFonts w:ascii="Symbol" w:hAnsi="Symbol" w:hint="default"/>
      </w:rPr>
    </w:lvl>
    <w:lvl w:ilvl="1" w:tplc="040C0003">
      <w:start w:val="1"/>
      <w:numFmt w:val="bullet"/>
      <w:lvlText w:val="o"/>
      <w:lvlJc w:val="left"/>
      <w:pPr>
        <w:tabs>
          <w:tab w:val="num" w:pos="2857"/>
        </w:tabs>
        <w:ind w:left="2857" w:hanging="360"/>
      </w:pPr>
      <w:rPr>
        <w:rFonts w:ascii="Courier New" w:hAnsi="Courier New" w:cs="Courier New" w:hint="default"/>
      </w:rPr>
    </w:lvl>
    <w:lvl w:ilvl="2" w:tplc="040C0005">
      <w:start w:val="1"/>
      <w:numFmt w:val="bullet"/>
      <w:lvlText w:val=""/>
      <w:lvlJc w:val="left"/>
      <w:pPr>
        <w:tabs>
          <w:tab w:val="num" w:pos="3577"/>
        </w:tabs>
        <w:ind w:left="3577" w:hanging="360"/>
      </w:pPr>
      <w:rPr>
        <w:rFonts w:ascii="Wingdings" w:hAnsi="Wingdings" w:hint="default"/>
      </w:rPr>
    </w:lvl>
    <w:lvl w:ilvl="3" w:tplc="040C000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17">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8">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19">
    <w:nsid w:val="3A994125"/>
    <w:multiLevelType w:val="hybridMultilevel"/>
    <w:tmpl w:val="D5360FC8"/>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0">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1">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3">
    <w:nsid w:val="40791737"/>
    <w:multiLevelType w:val="singleLevel"/>
    <w:tmpl w:val="040C000F"/>
    <w:lvl w:ilvl="0">
      <w:start w:val="1"/>
      <w:numFmt w:val="decimal"/>
      <w:lvlText w:val="%1."/>
      <w:lvlJc w:val="left"/>
      <w:pPr>
        <w:tabs>
          <w:tab w:val="num" w:pos="360"/>
        </w:tabs>
        <w:ind w:left="360" w:hanging="360"/>
      </w:pPr>
    </w:lvl>
  </w:abstractNum>
  <w:abstractNum w:abstractNumId="24">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6">
    <w:nsid w:val="46EA3A53"/>
    <w:multiLevelType w:val="hybridMultilevel"/>
    <w:tmpl w:val="1F0A35F0"/>
    <w:lvl w:ilvl="0" w:tplc="BCF6A42E">
      <w:start w:val="1"/>
      <w:numFmt w:val="decimal"/>
      <w:lvlText w:val="%1."/>
      <w:lvlJc w:val="left"/>
      <w:pPr>
        <w:ind w:left="862" w:hanging="360"/>
      </w:pPr>
      <w:rPr>
        <w:rFont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48407601"/>
    <w:multiLevelType w:val="hybridMultilevel"/>
    <w:tmpl w:val="A384923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8">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9">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30">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1">
    <w:nsid w:val="4CEC4B00"/>
    <w:multiLevelType w:val="singleLevel"/>
    <w:tmpl w:val="040C000F"/>
    <w:lvl w:ilvl="0">
      <w:start w:val="1"/>
      <w:numFmt w:val="decimal"/>
      <w:lvlText w:val="%1."/>
      <w:lvlJc w:val="left"/>
      <w:pPr>
        <w:tabs>
          <w:tab w:val="num" w:pos="360"/>
        </w:tabs>
        <w:ind w:left="360" w:hanging="360"/>
      </w:pPr>
    </w:lvl>
  </w:abstractNum>
  <w:abstractNum w:abstractNumId="32">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3">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4">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5">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6">
    <w:nsid w:val="641D7046"/>
    <w:multiLevelType w:val="hybridMultilevel"/>
    <w:tmpl w:val="00040138"/>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3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8">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9">
    <w:nsid w:val="77332B37"/>
    <w:multiLevelType w:val="multilevel"/>
    <w:tmpl w:val="538A32F6"/>
    <w:lvl w:ilvl="0">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40">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1">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2">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30"/>
  </w:num>
  <w:num w:numId="3">
    <w:abstractNumId w:val="11"/>
  </w:num>
  <w:num w:numId="4">
    <w:abstractNumId w:val="20"/>
  </w:num>
  <w:num w:numId="5">
    <w:abstractNumId w:val="0"/>
  </w:num>
  <w:num w:numId="6">
    <w:abstractNumId w:val="31"/>
  </w:num>
  <w:num w:numId="7">
    <w:abstractNumId w:val="25"/>
  </w:num>
  <w:num w:numId="8">
    <w:abstractNumId w:val="18"/>
  </w:num>
  <w:num w:numId="9">
    <w:abstractNumId w:val="22"/>
  </w:num>
  <w:num w:numId="10">
    <w:abstractNumId w:val="8"/>
  </w:num>
  <w:num w:numId="11">
    <w:abstractNumId w:val="28"/>
  </w:num>
  <w:num w:numId="12">
    <w:abstractNumId w:val="35"/>
  </w:num>
  <w:num w:numId="13">
    <w:abstractNumId w:val="6"/>
  </w:num>
  <w:num w:numId="14">
    <w:abstractNumId w:val="40"/>
  </w:num>
  <w:num w:numId="15">
    <w:abstractNumId w:val="38"/>
  </w:num>
  <w:num w:numId="16">
    <w:abstractNumId w:val="41"/>
  </w:num>
  <w:num w:numId="17">
    <w:abstractNumId w:val="23"/>
  </w:num>
  <w:num w:numId="18">
    <w:abstractNumId w:val="29"/>
  </w:num>
  <w:num w:numId="19">
    <w:abstractNumId w:val="1"/>
  </w:num>
  <w:num w:numId="20">
    <w:abstractNumId w:val="3"/>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2"/>
  </w:num>
  <w:num w:numId="24">
    <w:abstractNumId w:val="15"/>
  </w:num>
  <w:num w:numId="25">
    <w:abstractNumId w:val="4"/>
  </w:num>
  <w:num w:numId="26">
    <w:abstractNumId w:val="37"/>
  </w:num>
  <w:num w:numId="27">
    <w:abstractNumId w:val="5"/>
  </w:num>
  <w:num w:numId="28">
    <w:abstractNumId w:val="33"/>
  </w:num>
  <w:num w:numId="29">
    <w:abstractNumId w:val="14"/>
  </w:num>
  <w:num w:numId="30">
    <w:abstractNumId w:val="23"/>
    <w:lvlOverride w:ilvl="0">
      <w:startOverride w:val="1"/>
    </w:lvlOverride>
  </w:num>
  <w:num w:numId="31">
    <w:abstractNumId w:val="21"/>
  </w:num>
  <w:num w:numId="32">
    <w:abstractNumId w:val="2"/>
  </w:num>
  <w:num w:numId="33">
    <w:abstractNumId w:val="34"/>
  </w:num>
  <w:num w:numId="34">
    <w:abstractNumId w:val="32"/>
  </w:num>
  <w:num w:numId="35">
    <w:abstractNumId w:val="17"/>
  </w:num>
  <w:num w:numId="36">
    <w:abstractNumId w:val="24"/>
  </w:num>
  <w:num w:numId="37">
    <w:abstractNumId w:val="10"/>
  </w:num>
  <w:num w:numId="38">
    <w:abstractNumId w:val="13"/>
  </w:num>
  <w:num w:numId="39">
    <w:abstractNumId w:val="39"/>
  </w:num>
  <w:num w:numId="40">
    <w:abstractNumId w:val="7"/>
  </w:num>
  <w:num w:numId="41">
    <w:abstractNumId w:val="26"/>
  </w:num>
  <w:num w:numId="42">
    <w:abstractNumId w:val="16"/>
  </w:num>
  <w:num w:numId="43">
    <w:abstractNumId w:val="27"/>
  </w:num>
  <w:num w:numId="44">
    <w:abstractNumId w:val="1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33DF9"/>
    <w:rsid w:val="00002D10"/>
    <w:rsid w:val="00014E90"/>
    <w:rsid w:val="0002649F"/>
    <w:rsid w:val="00030090"/>
    <w:rsid w:val="00032BF9"/>
    <w:rsid w:val="0004538E"/>
    <w:rsid w:val="00051F67"/>
    <w:rsid w:val="000625F7"/>
    <w:rsid w:val="00064A19"/>
    <w:rsid w:val="00070298"/>
    <w:rsid w:val="00085CA1"/>
    <w:rsid w:val="000901F5"/>
    <w:rsid w:val="00093843"/>
    <w:rsid w:val="000B2CD6"/>
    <w:rsid w:val="000B39C5"/>
    <w:rsid w:val="000B4E67"/>
    <w:rsid w:val="000B7061"/>
    <w:rsid w:val="000C2C7C"/>
    <w:rsid w:val="000D5A7F"/>
    <w:rsid w:val="000E6805"/>
    <w:rsid w:val="000F178A"/>
    <w:rsid w:val="000F793D"/>
    <w:rsid w:val="001053DD"/>
    <w:rsid w:val="0011154C"/>
    <w:rsid w:val="00117DE1"/>
    <w:rsid w:val="0012029A"/>
    <w:rsid w:val="00120580"/>
    <w:rsid w:val="0012086D"/>
    <w:rsid w:val="00121F7E"/>
    <w:rsid w:val="00130108"/>
    <w:rsid w:val="00144426"/>
    <w:rsid w:val="00147064"/>
    <w:rsid w:val="0015118C"/>
    <w:rsid w:val="00153F96"/>
    <w:rsid w:val="0015752D"/>
    <w:rsid w:val="0016010E"/>
    <w:rsid w:val="001625FE"/>
    <w:rsid w:val="001675B3"/>
    <w:rsid w:val="00173CE1"/>
    <w:rsid w:val="00183BF4"/>
    <w:rsid w:val="0018781A"/>
    <w:rsid w:val="001A1117"/>
    <w:rsid w:val="001B4CB9"/>
    <w:rsid w:val="001B60C8"/>
    <w:rsid w:val="001C03EA"/>
    <w:rsid w:val="001C463F"/>
    <w:rsid w:val="001C575C"/>
    <w:rsid w:val="001D0CB2"/>
    <w:rsid w:val="001E2D63"/>
    <w:rsid w:val="001E6C2A"/>
    <w:rsid w:val="001F439C"/>
    <w:rsid w:val="001F5738"/>
    <w:rsid w:val="0020139E"/>
    <w:rsid w:val="00205D58"/>
    <w:rsid w:val="00206D64"/>
    <w:rsid w:val="0020774A"/>
    <w:rsid w:val="002131D6"/>
    <w:rsid w:val="00213EAC"/>
    <w:rsid w:val="00215187"/>
    <w:rsid w:val="00224153"/>
    <w:rsid w:val="0024091C"/>
    <w:rsid w:val="00243BA4"/>
    <w:rsid w:val="00245962"/>
    <w:rsid w:val="00252AF2"/>
    <w:rsid w:val="00261F20"/>
    <w:rsid w:val="00270C0C"/>
    <w:rsid w:val="00272F40"/>
    <w:rsid w:val="00273F60"/>
    <w:rsid w:val="00277552"/>
    <w:rsid w:val="00296C82"/>
    <w:rsid w:val="002B1639"/>
    <w:rsid w:val="002C2F82"/>
    <w:rsid w:val="002D0EB5"/>
    <w:rsid w:val="002D2395"/>
    <w:rsid w:val="002D58B3"/>
    <w:rsid w:val="002E29B3"/>
    <w:rsid w:val="002E5FF0"/>
    <w:rsid w:val="003001F4"/>
    <w:rsid w:val="00313223"/>
    <w:rsid w:val="003139A2"/>
    <w:rsid w:val="0031438D"/>
    <w:rsid w:val="00320912"/>
    <w:rsid w:val="00325076"/>
    <w:rsid w:val="003359EC"/>
    <w:rsid w:val="0033641D"/>
    <w:rsid w:val="003368B3"/>
    <w:rsid w:val="003418CB"/>
    <w:rsid w:val="00342E30"/>
    <w:rsid w:val="003457E0"/>
    <w:rsid w:val="003532A0"/>
    <w:rsid w:val="00353C85"/>
    <w:rsid w:val="00361242"/>
    <w:rsid w:val="00362523"/>
    <w:rsid w:val="003649EA"/>
    <w:rsid w:val="003804BF"/>
    <w:rsid w:val="00385A7F"/>
    <w:rsid w:val="00391D67"/>
    <w:rsid w:val="003954B3"/>
    <w:rsid w:val="003A21FF"/>
    <w:rsid w:val="003A5671"/>
    <w:rsid w:val="003B1F48"/>
    <w:rsid w:val="003B2034"/>
    <w:rsid w:val="003B464A"/>
    <w:rsid w:val="003B4FC9"/>
    <w:rsid w:val="003C551B"/>
    <w:rsid w:val="003D1B1F"/>
    <w:rsid w:val="003D4446"/>
    <w:rsid w:val="003D53E9"/>
    <w:rsid w:val="003D59FA"/>
    <w:rsid w:val="003D617B"/>
    <w:rsid w:val="003D6E2F"/>
    <w:rsid w:val="003D7B1E"/>
    <w:rsid w:val="003F5AA8"/>
    <w:rsid w:val="003F733B"/>
    <w:rsid w:val="0040199A"/>
    <w:rsid w:val="00402922"/>
    <w:rsid w:val="00407E8F"/>
    <w:rsid w:val="00415782"/>
    <w:rsid w:val="004253CC"/>
    <w:rsid w:val="00425D7F"/>
    <w:rsid w:val="00432E90"/>
    <w:rsid w:val="00437E90"/>
    <w:rsid w:val="00441F79"/>
    <w:rsid w:val="00442A1C"/>
    <w:rsid w:val="004563EE"/>
    <w:rsid w:val="004573B8"/>
    <w:rsid w:val="00457E6B"/>
    <w:rsid w:val="00461AE3"/>
    <w:rsid w:val="00463A83"/>
    <w:rsid w:val="004675C6"/>
    <w:rsid w:val="00473E0F"/>
    <w:rsid w:val="004746ED"/>
    <w:rsid w:val="00480698"/>
    <w:rsid w:val="00492159"/>
    <w:rsid w:val="00497BB3"/>
    <w:rsid w:val="004A4853"/>
    <w:rsid w:val="004B036B"/>
    <w:rsid w:val="004B1722"/>
    <w:rsid w:val="004B28E6"/>
    <w:rsid w:val="004B2DDC"/>
    <w:rsid w:val="004B782E"/>
    <w:rsid w:val="004D17BA"/>
    <w:rsid w:val="004D394A"/>
    <w:rsid w:val="004E2FCA"/>
    <w:rsid w:val="004F2D8B"/>
    <w:rsid w:val="004F316E"/>
    <w:rsid w:val="004F4F8F"/>
    <w:rsid w:val="004F69CF"/>
    <w:rsid w:val="00502754"/>
    <w:rsid w:val="00512334"/>
    <w:rsid w:val="0051387C"/>
    <w:rsid w:val="00514E5B"/>
    <w:rsid w:val="0052324D"/>
    <w:rsid w:val="00527385"/>
    <w:rsid w:val="00531B97"/>
    <w:rsid w:val="00535A6E"/>
    <w:rsid w:val="0053681D"/>
    <w:rsid w:val="00537B32"/>
    <w:rsid w:val="005526E6"/>
    <w:rsid w:val="00556299"/>
    <w:rsid w:val="00556F38"/>
    <w:rsid w:val="00575176"/>
    <w:rsid w:val="005853CD"/>
    <w:rsid w:val="0058689D"/>
    <w:rsid w:val="005A1CF7"/>
    <w:rsid w:val="005A35FF"/>
    <w:rsid w:val="005A7CF3"/>
    <w:rsid w:val="005B5CD5"/>
    <w:rsid w:val="005C1430"/>
    <w:rsid w:val="005D0394"/>
    <w:rsid w:val="005D47F7"/>
    <w:rsid w:val="005F4D85"/>
    <w:rsid w:val="005F5BB8"/>
    <w:rsid w:val="005F6BD0"/>
    <w:rsid w:val="005F73CD"/>
    <w:rsid w:val="005F7505"/>
    <w:rsid w:val="006004F1"/>
    <w:rsid w:val="00601974"/>
    <w:rsid w:val="00612276"/>
    <w:rsid w:val="0061402D"/>
    <w:rsid w:val="006207C4"/>
    <w:rsid w:val="006220B1"/>
    <w:rsid w:val="00625EFD"/>
    <w:rsid w:val="00634E1D"/>
    <w:rsid w:val="0063514A"/>
    <w:rsid w:val="00635A03"/>
    <w:rsid w:val="00637D1B"/>
    <w:rsid w:val="00640EAD"/>
    <w:rsid w:val="006463EE"/>
    <w:rsid w:val="00651D0F"/>
    <w:rsid w:val="0065229B"/>
    <w:rsid w:val="00653559"/>
    <w:rsid w:val="00655617"/>
    <w:rsid w:val="00660DA8"/>
    <w:rsid w:val="0066466E"/>
    <w:rsid w:val="00683BA6"/>
    <w:rsid w:val="00683DD6"/>
    <w:rsid w:val="00687A8D"/>
    <w:rsid w:val="006905E2"/>
    <w:rsid w:val="00691B83"/>
    <w:rsid w:val="00692682"/>
    <w:rsid w:val="00692A99"/>
    <w:rsid w:val="00692B0E"/>
    <w:rsid w:val="00694EBC"/>
    <w:rsid w:val="006A1A90"/>
    <w:rsid w:val="006B3D36"/>
    <w:rsid w:val="006B3F59"/>
    <w:rsid w:val="006B46D1"/>
    <w:rsid w:val="006E1A02"/>
    <w:rsid w:val="00702E42"/>
    <w:rsid w:val="00704AC3"/>
    <w:rsid w:val="00705939"/>
    <w:rsid w:val="0071705B"/>
    <w:rsid w:val="00717D01"/>
    <w:rsid w:val="007268A6"/>
    <w:rsid w:val="007461AE"/>
    <w:rsid w:val="0074772F"/>
    <w:rsid w:val="00786F91"/>
    <w:rsid w:val="007902E6"/>
    <w:rsid w:val="00797205"/>
    <w:rsid w:val="00797C3F"/>
    <w:rsid w:val="007A22BE"/>
    <w:rsid w:val="007A24F6"/>
    <w:rsid w:val="007A552C"/>
    <w:rsid w:val="007A7FAF"/>
    <w:rsid w:val="007D1796"/>
    <w:rsid w:val="007D6211"/>
    <w:rsid w:val="007E64D5"/>
    <w:rsid w:val="007F0796"/>
    <w:rsid w:val="007F6723"/>
    <w:rsid w:val="007F6ED9"/>
    <w:rsid w:val="00803052"/>
    <w:rsid w:val="00814690"/>
    <w:rsid w:val="00814825"/>
    <w:rsid w:val="00816AD6"/>
    <w:rsid w:val="00823D26"/>
    <w:rsid w:val="00823E35"/>
    <w:rsid w:val="00824741"/>
    <w:rsid w:val="008335F0"/>
    <w:rsid w:val="0083668E"/>
    <w:rsid w:val="008515E9"/>
    <w:rsid w:val="0085440D"/>
    <w:rsid w:val="00856CEA"/>
    <w:rsid w:val="00862A37"/>
    <w:rsid w:val="0087438B"/>
    <w:rsid w:val="008758FA"/>
    <w:rsid w:val="00875D9A"/>
    <w:rsid w:val="008876AF"/>
    <w:rsid w:val="0089093B"/>
    <w:rsid w:val="00890EC8"/>
    <w:rsid w:val="008A23D3"/>
    <w:rsid w:val="008A3F3B"/>
    <w:rsid w:val="008A7D43"/>
    <w:rsid w:val="008B7047"/>
    <w:rsid w:val="008C3941"/>
    <w:rsid w:val="008C3ECC"/>
    <w:rsid w:val="008D4C46"/>
    <w:rsid w:val="008D623F"/>
    <w:rsid w:val="008E2AFB"/>
    <w:rsid w:val="008E7F32"/>
    <w:rsid w:val="008F42CF"/>
    <w:rsid w:val="00902C99"/>
    <w:rsid w:val="00912B6D"/>
    <w:rsid w:val="00914AF4"/>
    <w:rsid w:val="0092012F"/>
    <w:rsid w:val="009309C8"/>
    <w:rsid w:val="00931B86"/>
    <w:rsid w:val="00942D96"/>
    <w:rsid w:val="009450D9"/>
    <w:rsid w:val="00946BBB"/>
    <w:rsid w:val="00950FE4"/>
    <w:rsid w:val="0095134E"/>
    <w:rsid w:val="00954E6A"/>
    <w:rsid w:val="00955967"/>
    <w:rsid w:val="00960EBB"/>
    <w:rsid w:val="00973586"/>
    <w:rsid w:val="00974ACD"/>
    <w:rsid w:val="009756DC"/>
    <w:rsid w:val="00975E0C"/>
    <w:rsid w:val="00981429"/>
    <w:rsid w:val="00983713"/>
    <w:rsid w:val="0098381C"/>
    <w:rsid w:val="009842D4"/>
    <w:rsid w:val="009857E2"/>
    <w:rsid w:val="009A3C7B"/>
    <w:rsid w:val="009B1158"/>
    <w:rsid w:val="009B19F4"/>
    <w:rsid w:val="009C0B04"/>
    <w:rsid w:val="009C3082"/>
    <w:rsid w:val="009C785A"/>
    <w:rsid w:val="009D2D21"/>
    <w:rsid w:val="009E5041"/>
    <w:rsid w:val="009F221E"/>
    <w:rsid w:val="009F5B20"/>
    <w:rsid w:val="009F5DBF"/>
    <w:rsid w:val="00A0439C"/>
    <w:rsid w:val="00A0625A"/>
    <w:rsid w:val="00A06AAD"/>
    <w:rsid w:val="00A17E81"/>
    <w:rsid w:val="00A21BE2"/>
    <w:rsid w:val="00A56E29"/>
    <w:rsid w:val="00A61407"/>
    <w:rsid w:val="00A64614"/>
    <w:rsid w:val="00A711C1"/>
    <w:rsid w:val="00A72447"/>
    <w:rsid w:val="00A73A10"/>
    <w:rsid w:val="00A77216"/>
    <w:rsid w:val="00A7775E"/>
    <w:rsid w:val="00A82FB0"/>
    <w:rsid w:val="00A9705F"/>
    <w:rsid w:val="00AA692D"/>
    <w:rsid w:val="00AA7ADE"/>
    <w:rsid w:val="00AB259C"/>
    <w:rsid w:val="00AB30DB"/>
    <w:rsid w:val="00AB6F11"/>
    <w:rsid w:val="00AB7D50"/>
    <w:rsid w:val="00AC3B75"/>
    <w:rsid w:val="00AC5BA4"/>
    <w:rsid w:val="00AE38F3"/>
    <w:rsid w:val="00AE3E29"/>
    <w:rsid w:val="00AE6814"/>
    <w:rsid w:val="00B0322B"/>
    <w:rsid w:val="00B05224"/>
    <w:rsid w:val="00B062B6"/>
    <w:rsid w:val="00B07DB1"/>
    <w:rsid w:val="00B12330"/>
    <w:rsid w:val="00B13DFA"/>
    <w:rsid w:val="00B1417B"/>
    <w:rsid w:val="00B149CC"/>
    <w:rsid w:val="00B21C7A"/>
    <w:rsid w:val="00B25627"/>
    <w:rsid w:val="00B26392"/>
    <w:rsid w:val="00B328EB"/>
    <w:rsid w:val="00B33DF9"/>
    <w:rsid w:val="00B34B93"/>
    <w:rsid w:val="00B35CEE"/>
    <w:rsid w:val="00B45A34"/>
    <w:rsid w:val="00B46DE7"/>
    <w:rsid w:val="00B523DE"/>
    <w:rsid w:val="00B57AE4"/>
    <w:rsid w:val="00B6513E"/>
    <w:rsid w:val="00B65A55"/>
    <w:rsid w:val="00B72BDF"/>
    <w:rsid w:val="00B81FD9"/>
    <w:rsid w:val="00B828FF"/>
    <w:rsid w:val="00B833FA"/>
    <w:rsid w:val="00B87FAE"/>
    <w:rsid w:val="00B94D57"/>
    <w:rsid w:val="00B953E3"/>
    <w:rsid w:val="00B97E65"/>
    <w:rsid w:val="00BB49FA"/>
    <w:rsid w:val="00BB70EB"/>
    <w:rsid w:val="00BC015F"/>
    <w:rsid w:val="00BC0E9C"/>
    <w:rsid w:val="00BC5E46"/>
    <w:rsid w:val="00BD1919"/>
    <w:rsid w:val="00BD3BFF"/>
    <w:rsid w:val="00BD4C2B"/>
    <w:rsid w:val="00BD6BC8"/>
    <w:rsid w:val="00BD7ECF"/>
    <w:rsid w:val="00BE0247"/>
    <w:rsid w:val="00BE5082"/>
    <w:rsid w:val="00BF2626"/>
    <w:rsid w:val="00BF71D3"/>
    <w:rsid w:val="00C0740D"/>
    <w:rsid w:val="00C120CA"/>
    <w:rsid w:val="00C15DDB"/>
    <w:rsid w:val="00C224EC"/>
    <w:rsid w:val="00C313C1"/>
    <w:rsid w:val="00C47D62"/>
    <w:rsid w:val="00C62161"/>
    <w:rsid w:val="00C75493"/>
    <w:rsid w:val="00C76573"/>
    <w:rsid w:val="00C85CB8"/>
    <w:rsid w:val="00C85FE0"/>
    <w:rsid w:val="00C86202"/>
    <w:rsid w:val="00C91317"/>
    <w:rsid w:val="00C94018"/>
    <w:rsid w:val="00C95C48"/>
    <w:rsid w:val="00CA1613"/>
    <w:rsid w:val="00CB0534"/>
    <w:rsid w:val="00CC183B"/>
    <w:rsid w:val="00CD57E6"/>
    <w:rsid w:val="00CD7179"/>
    <w:rsid w:val="00CE0236"/>
    <w:rsid w:val="00CE13BE"/>
    <w:rsid w:val="00D0175C"/>
    <w:rsid w:val="00D01C3E"/>
    <w:rsid w:val="00D14752"/>
    <w:rsid w:val="00D169B6"/>
    <w:rsid w:val="00D201BD"/>
    <w:rsid w:val="00D21026"/>
    <w:rsid w:val="00D2711E"/>
    <w:rsid w:val="00D315FF"/>
    <w:rsid w:val="00D33730"/>
    <w:rsid w:val="00D364C3"/>
    <w:rsid w:val="00D37DD3"/>
    <w:rsid w:val="00D457BF"/>
    <w:rsid w:val="00D5200C"/>
    <w:rsid w:val="00D5445B"/>
    <w:rsid w:val="00D54B5E"/>
    <w:rsid w:val="00D550E4"/>
    <w:rsid w:val="00D56058"/>
    <w:rsid w:val="00D743FE"/>
    <w:rsid w:val="00D844BA"/>
    <w:rsid w:val="00D84C2F"/>
    <w:rsid w:val="00D9454A"/>
    <w:rsid w:val="00DB573D"/>
    <w:rsid w:val="00DB7220"/>
    <w:rsid w:val="00DB757F"/>
    <w:rsid w:val="00DC4419"/>
    <w:rsid w:val="00DC4E35"/>
    <w:rsid w:val="00DC5617"/>
    <w:rsid w:val="00DE3423"/>
    <w:rsid w:val="00DE535B"/>
    <w:rsid w:val="00DE5995"/>
    <w:rsid w:val="00DE61DA"/>
    <w:rsid w:val="00DF1CEF"/>
    <w:rsid w:val="00DF494E"/>
    <w:rsid w:val="00E0402D"/>
    <w:rsid w:val="00E052D8"/>
    <w:rsid w:val="00E13FFF"/>
    <w:rsid w:val="00E17AC2"/>
    <w:rsid w:val="00E2353F"/>
    <w:rsid w:val="00E34EE3"/>
    <w:rsid w:val="00E35BFD"/>
    <w:rsid w:val="00E37AF8"/>
    <w:rsid w:val="00E42C42"/>
    <w:rsid w:val="00E455C9"/>
    <w:rsid w:val="00E47ED8"/>
    <w:rsid w:val="00E50C95"/>
    <w:rsid w:val="00E528A2"/>
    <w:rsid w:val="00E601E0"/>
    <w:rsid w:val="00E622E1"/>
    <w:rsid w:val="00E73F50"/>
    <w:rsid w:val="00E77866"/>
    <w:rsid w:val="00E8509E"/>
    <w:rsid w:val="00E863A0"/>
    <w:rsid w:val="00EC59CA"/>
    <w:rsid w:val="00EC60B0"/>
    <w:rsid w:val="00EC6C16"/>
    <w:rsid w:val="00ED1A89"/>
    <w:rsid w:val="00EE4909"/>
    <w:rsid w:val="00EE6B81"/>
    <w:rsid w:val="00EF2EAE"/>
    <w:rsid w:val="00EF5FD7"/>
    <w:rsid w:val="00EF7EAE"/>
    <w:rsid w:val="00F023D8"/>
    <w:rsid w:val="00F025E8"/>
    <w:rsid w:val="00F06EBE"/>
    <w:rsid w:val="00F0761A"/>
    <w:rsid w:val="00F12A32"/>
    <w:rsid w:val="00F16020"/>
    <w:rsid w:val="00F22456"/>
    <w:rsid w:val="00F265D9"/>
    <w:rsid w:val="00F32EF1"/>
    <w:rsid w:val="00F3310F"/>
    <w:rsid w:val="00F3321A"/>
    <w:rsid w:val="00F41208"/>
    <w:rsid w:val="00F4257E"/>
    <w:rsid w:val="00F54004"/>
    <w:rsid w:val="00F56BC4"/>
    <w:rsid w:val="00F57970"/>
    <w:rsid w:val="00F60517"/>
    <w:rsid w:val="00F645BC"/>
    <w:rsid w:val="00F66F52"/>
    <w:rsid w:val="00F803F3"/>
    <w:rsid w:val="00F860E9"/>
    <w:rsid w:val="00F87871"/>
    <w:rsid w:val="00F9653B"/>
    <w:rsid w:val="00FB3BFB"/>
    <w:rsid w:val="00FB56DB"/>
    <w:rsid w:val="00FC24AC"/>
    <w:rsid w:val="00FC3BC7"/>
    <w:rsid w:val="00FD1890"/>
    <w:rsid w:val="00FD7C20"/>
    <w:rsid w:val="00FF0C32"/>
    <w:rsid w:val="00FF55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link w:val="Titre4Car"/>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link w:val="Retraitcorpsdetexte3Car"/>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Corpsdetexte">
    <w:name w:val="Body Text"/>
    <w:basedOn w:val="Normal"/>
    <w:link w:val="CorpsdetexteCar"/>
    <w:uiPriority w:val="99"/>
    <w:unhideWhenUsed/>
    <w:rsid w:val="00425D7F"/>
    <w:pPr>
      <w:spacing w:after="120"/>
    </w:pPr>
  </w:style>
  <w:style w:type="character" w:customStyle="1" w:styleId="CorpsdetexteCar">
    <w:name w:val="Corps de texte Car"/>
    <w:basedOn w:val="Policepardfaut"/>
    <w:link w:val="Corpsdetexte"/>
    <w:uiPriority w:val="99"/>
    <w:rsid w:val="00425D7F"/>
    <w:rPr>
      <w:rFonts w:ascii="Univers (W1)" w:hAnsi="Univers (W1)"/>
    </w:rPr>
  </w:style>
  <w:style w:type="paragraph" w:styleId="Paragraphedeliste">
    <w:name w:val="List Paragraph"/>
    <w:basedOn w:val="Normal"/>
    <w:uiPriority w:val="34"/>
    <w:qFormat/>
    <w:rsid w:val="00EC60B0"/>
    <w:pPr>
      <w:ind w:left="720"/>
      <w:contextualSpacing/>
    </w:pPr>
  </w:style>
  <w:style w:type="character" w:customStyle="1" w:styleId="Retraitcorpsdetexte3Car">
    <w:name w:val="Retrait corps de texte 3 Car"/>
    <w:basedOn w:val="Policepardfaut"/>
    <w:link w:val="Retraitcorpsdetexte3"/>
    <w:rsid w:val="00F803F3"/>
    <w:rPr>
      <w:rFonts w:ascii="Univers" w:hAnsi="Univers"/>
      <w:b/>
      <w:bCs/>
      <w:sz w:val="22"/>
      <w:szCs w:val="22"/>
    </w:rPr>
  </w:style>
  <w:style w:type="paragraph" w:customStyle="1" w:styleId="paragraphe0">
    <w:name w:val="paragraphe"/>
    <w:basedOn w:val="Normal"/>
    <w:rsid w:val="00243BA4"/>
    <w:pPr>
      <w:spacing w:before="100" w:beforeAutospacing="1" w:after="100" w:afterAutospacing="1"/>
    </w:pPr>
    <w:rPr>
      <w:rFonts w:ascii="Times New Roman" w:hAnsi="Times New Roman"/>
      <w:sz w:val="24"/>
      <w:szCs w:val="24"/>
    </w:rPr>
  </w:style>
  <w:style w:type="character" w:customStyle="1" w:styleId="Titre4Car">
    <w:name w:val="Titre 4 Car"/>
    <w:basedOn w:val="Policepardfaut"/>
    <w:link w:val="Titre4"/>
    <w:rsid w:val="00C313C1"/>
    <w:rPr>
      <w:rFonts w:ascii="Arial" w:hAnsi="Arial" w:cs="Arial"/>
      <w:b/>
      <w:bCs/>
      <w:sz w:val="22"/>
      <w:szCs w:val="22"/>
    </w:rPr>
  </w:style>
  <w:style w:type="paragraph" w:customStyle="1" w:styleId="Default">
    <w:name w:val="Default"/>
    <w:rsid w:val="0012058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3999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678187054">
      <w:bodyDiv w:val="1"/>
      <w:marLeft w:val="0"/>
      <w:marRight w:val="0"/>
      <w:marTop w:val="0"/>
      <w:marBottom w:val="0"/>
      <w:divBdr>
        <w:top w:val="none" w:sz="0" w:space="0" w:color="auto"/>
        <w:left w:val="none" w:sz="0" w:space="0" w:color="auto"/>
        <w:bottom w:val="none" w:sz="0" w:space="0" w:color="auto"/>
        <w:right w:val="none" w:sz="0" w:space="0" w:color="auto"/>
      </w:divBdr>
    </w:div>
    <w:div w:id="19616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91F81-2C73-4365-A06B-6D16D8FF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508</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DMV</dc:creator>
  <cp:keywords>foncier</cp:keywords>
  <cp:lastModifiedBy>marbea</cp:lastModifiedBy>
  <cp:revision>17</cp:revision>
  <cp:lastPrinted>2016-10-28T12:52:00Z</cp:lastPrinted>
  <dcterms:created xsi:type="dcterms:W3CDTF">2016-10-26T14:46:00Z</dcterms:created>
  <dcterms:modified xsi:type="dcterms:W3CDTF">2016-12-09T14:51:00Z</dcterms:modified>
</cp:coreProperties>
</file>