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E9" w:rsidRPr="009B64BA" w:rsidRDefault="00E134E9" w:rsidP="00A155E6">
      <w:pPr>
        <w:pStyle w:val="Titre1"/>
        <w:ind w:left="567"/>
        <w:rPr>
          <w:rFonts w:ascii="Arial" w:hAnsi="Arial" w:cs="Arial"/>
          <w:sz w:val="28"/>
          <w:szCs w:val="28"/>
        </w:rPr>
      </w:pPr>
      <w:r w:rsidRPr="009B64BA">
        <w:rPr>
          <w:rFonts w:ascii="Arial" w:hAnsi="Arial" w:cs="Arial"/>
          <w:sz w:val="28"/>
          <w:szCs w:val="28"/>
        </w:rPr>
        <w:t>Ville de Riorges</w:t>
      </w:r>
    </w:p>
    <w:p w:rsidR="00E134E9" w:rsidRPr="00E134E9" w:rsidRDefault="00C378D4" w:rsidP="00971FE1">
      <w:pPr>
        <w:pStyle w:val="Titre1"/>
        <w:tabs>
          <w:tab w:val="right" w:pos="9639"/>
        </w:tabs>
        <w:ind w:left="567"/>
        <w:rPr>
          <w:rFonts w:ascii="Arial" w:hAnsi="Arial"/>
        </w:rPr>
      </w:pPr>
      <w:r>
        <w:rPr>
          <w:rFonts w:ascii="Arial" w:hAnsi="Arial"/>
        </w:rPr>
        <w:t>Délibération du c</w:t>
      </w:r>
      <w:r w:rsidR="000D391D">
        <w:rPr>
          <w:rFonts w:ascii="Arial" w:hAnsi="Arial"/>
        </w:rPr>
        <w:t>onseil</w:t>
      </w:r>
      <w:r w:rsidR="00E134E9" w:rsidRPr="00E134E9">
        <w:rPr>
          <w:rFonts w:ascii="Arial" w:hAnsi="Arial"/>
        </w:rPr>
        <w:t xml:space="preserve"> municipal du </w:t>
      </w:r>
      <w:r w:rsidR="000723FA">
        <w:rPr>
          <w:rFonts w:ascii="Arial" w:hAnsi="Arial"/>
        </w:rPr>
        <w:t>5 février</w:t>
      </w:r>
      <w:r w:rsidR="00E3012D">
        <w:rPr>
          <w:rFonts w:ascii="Arial" w:hAnsi="Arial"/>
        </w:rPr>
        <w:t xml:space="preserve"> 2015</w:t>
      </w:r>
      <w:r w:rsidR="00E134E9" w:rsidRPr="00E134E9">
        <w:rPr>
          <w:rFonts w:ascii="Arial" w:hAnsi="Arial"/>
        </w:rPr>
        <w:tab/>
      </w:r>
      <w:r w:rsidR="003670B8">
        <w:rPr>
          <w:rFonts w:ascii="Arial" w:hAnsi="Arial"/>
        </w:rPr>
        <w:t>2.4</w:t>
      </w:r>
    </w:p>
    <w:p w:rsidR="007F0796" w:rsidRPr="00E134E9" w:rsidRDefault="007F0796">
      <w:pPr>
        <w:tabs>
          <w:tab w:val="left" w:pos="1276"/>
          <w:tab w:val="left" w:pos="3402"/>
        </w:tabs>
        <w:ind w:left="2268"/>
        <w:jc w:val="center"/>
        <w:rPr>
          <w:rFonts w:ascii="Arial" w:hAnsi="Arial"/>
          <w:b/>
          <w:sz w:val="22"/>
        </w:rPr>
      </w:pPr>
    </w:p>
    <w:p w:rsidR="007F0796" w:rsidRPr="00E134E9" w:rsidRDefault="007F0796">
      <w:pPr>
        <w:tabs>
          <w:tab w:val="left" w:pos="1276"/>
          <w:tab w:val="left" w:pos="3402"/>
        </w:tabs>
        <w:ind w:left="2268"/>
        <w:jc w:val="center"/>
        <w:rPr>
          <w:rFonts w:ascii="Arial" w:hAnsi="Arial"/>
          <w:b/>
          <w:sz w:val="22"/>
        </w:rPr>
      </w:pPr>
    </w:p>
    <w:p w:rsidR="005C1430" w:rsidRPr="00E134E9" w:rsidRDefault="005C1430">
      <w:pPr>
        <w:tabs>
          <w:tab w:val="left" w:pos="1276"/>
          <w:tab w:val="left" w:pos="3402"/>
        </w:tabs>
        <w:ind w:left="2268"/>
        <w:jc w:val="center"/>
        <w:rPr>
          <w:rFonts w:ascii="Arial" w:hAnsi="Arial"/>
          <w:b/>
          <w:sz w:val="22"/>
        </w:rPr>
      </w:pPr>
    </w:p>
    <w:p w:rsidR="007F0796" w:rsidRPr="00F93E92" w:rsidRDefault="00E3012D">
      <w:pPr>
        <w:pStyle w:val="Titre4"/>
        <w:rPr>
          <w:sz w:val="24"/>
          <w:szCs w:val="24"/>
        </w:rPr>
      </w:pPr>
      <w:r w:rsidRPr="00F93E92">
        <w:rPr>
          <w:sz w:val="24"/>
          <w:szCs w:val="24"/>
        </w:rPr>
        <w:t>FINANCES</w:t>
      </w:r>
    </w:p>
    <w:p w:rsidR="007F0796" w:rsidRDefault="007F0796">
      <w:pPr>
        <w:tabs>
          <w:tab w:val="left" w:pos="1276"/>
          <w:tab w:val="left" w:pos="3261"/>
        </w:tabs>
        <w:ind w:left="2269"/>
        <w:jc w:val="right"/>
        <w:rPr>
          <w:rFonts w:ascii="Arial" w:hAnsi="Arial"/>
          <w:b/>
          <w:sz w:val="22"/>
        </w:rPr>
      </w:pPr>
    </w:p>
    <w:p w:rsidR="00133779" w:rsidRDefault="00133779" w:rsidP="00133779">
      <w:pPr>
        <w:pStyle w:val="Titre2"/>
        <w:jc w:val="right"/>
        <w:rPr>
          <w:rFonts w:ascii="Arial" w:hAnsi="Arial"/>
        </w:rPr>
      </w:pPr>
      <w:r>
        <w:rPr>
          <w:rFonts w:ascii="Arial" w:hAnsi="Arial"/>
        </w:rPr>
        <w:t>COMMISSION LOCALE D'EVALUATION</w:t>
      </w:r>
    </w:p>
    <w:p w:rsidR="00B95EF8" w:rsidRDefault="00133779" w:rsidP="00133779">
      <w:pPr>
        <w:pStyle w:val="Titre2"/>
        <w:jc w:val="right"/>
        <w:rPr>
          <w:rFonts w:ascii="Arial" w:hAnsi="Arial"/>
        </w:rPr>
      </w:pPr>
      <w:r>
        <w:rPr>
          <w:rFonts w:ascii="Arial" w:hAnsi="Arial"/>
        </w:rPr>
        <w:t>DES CHARGES TRANSFEREES (CLECT)</w:t>
      </w:r>
    </w:p>
    <w:p w:rsidR="00916D7F" w:rsidRPr="00916D7F" w:rsidRDefault="00E3012D" w:rsidP="00133779">
      <w:pPr>
        <w:pStyle w:val="Titre2"/>
        <w:jc w:val="right"/>
        <w:rPr>
          <w:rFonts w:ascii="Arial" w:hAnsi="Arial" w:cs="Arial"/>
        </w:rPr>
      </w:pPr>
      <w:r>
        <w:t>ATTRIBUTION DE COMPENSATION</w:t>
      </w:r>
    </w:p>
    <w:p w:rsidR="00133779" w:rsidRPr="00133779" w:rsidRDefault="00916D7F" w:rsidP="00133779">
      <w:pPr>
        <w:pStyle w:val="Titre2"/>
        <w:jc w:val="right"/>
        <w:rPr>
          <w:rFonts w:ascii="Arial" w:hAnsi="Arial"/>
        </w:rPr>
      </w:pPr>
      <w:r>
        <w:rPr>
          <w:rFonts w:ascii="Arial" w:hAnsi="Arial"/>
        </w:rPr>
        <w:t>APPROBATION DU RAPPORT</w:t>
      </w:r>
      <w:r w:rsidR="00E3012D">
        <w:rPr>
          <w:rFonts w:ascii="Arial" w:hAnsi="Arial"/>
        </w:rPr>
        <w:t xml:space="preserve"> DEFINITIF 2014</w:t>
      </w:r>
    </w:p>
    <w:p w:rsidR="007F0796" w:rsidRDefault="007F0796" w:rsidP="00C200D7">
      <w:pPr>
        <w:ind w:left="1418" w:hanging="1"/>
        <w:jc w:val="both"/>
        <w:rPr>
          <w:rFonts w:ascii="Arial" w:hAnsi="Arial"/>
          <w:sz w:val="22"/>
        </w:rPr>
      </w:pPr>
    </w:p>
    <w:p w:rsidR="009532A0" w:rsidRDefault="009532A0" w:rsidP="00C200D7">
      <w:pPr>
        <w:ind w:left="1418" w:hanging="1"/>
        <w:jc w:val="both"/>
        <w:rPr>
          <w:rFonts w:ascii="Arial" w:hAnsi="Arial"/>
          <w:sz w:val="22"/>
        </w:rPr>
      </w:pPr>
    </w:p>
    <w:p w:rsidR="009532A0" w:rsidRDefault="009532A0" w:rsidP="00C200D7">
      <w:pPr>
        <w:ind w:left="1418" w:hanging="1"/>
        <w:jc w:val="both"/>
        <w:rPr>
          <w:rFonts w:ascii="Arial" w:hAnsi="Arial"/>
          <w:sz w:val="22"/>
        </w:rPr>
      </w:pPr>
    </w:p>
    <w:p w:rsidR="009B64BA" w:rsidRDefault="009B64BA" w:rsidP="008611F0">
      <w:pPr>
        <w:ind w:left="1418"/>
        <w:jc w:val="both"/>
        <w:rPr>
          <w:rFonts w:ascii="Arial" w:hAnsi="Arial" w:cs="Arial"/>
          <w:sz w:val="22"/>
          <w:szCs w:val="22"/>
        </w:rPr>
      </w:pPr>
      <w:r>
        <w:rPr>
          <w:rFonts w:ascii="Arial" w:hAnsi="Arial" w:cs="Arial"/>
          <w:sz w:val="22"/>
          <w:szCs w:val="22"/>
        </w:rPr>
        <w:t>Odette GRELIN, conseillère municipale déléguée au commerce et à l'artisanat, expose à l'assemblée :</w:t>
      </w:r>
    </w:p>
    <w:p w:rsidR="00133779" w:rsidRDefault="00133779" w:rsidP="00133779">
      <w:pPr>
        <w:ind w:left="1418" w:hanging="1"/>
        <w:jc w:val="both"/>
        <w:rPr>
          <w:rFonts w:ascii="Arial" w:hAnsi="Arial" w:cs="Arial"/>
          <w:sz w:val="22"/>
          <w:szCs w:val="22"/>
        </w:rPr>
      </w:pPr>
    </w:p>
    <w:p w:rsidR="00E3012D" w:rsidRDefault="009B64BA" w:rsidP="00133779">
      <w:pPr>
        <w:ind w:left="1418" w:hanging="1"/>
        <w:jc w:val="both"/>
        <w:rPr>
          <w:rFonts w:ascii="Arial" w:hAnsi="Arial" w:cs="Arial"/>
          <w:sz w:val="22"/>
          <w:szCs w:val="22"/>
        </w:rPr>
      </w:pPr>
      <w:r>
        <w:rPr>
          <w:rFonts w:ascii="Arial" w:hAnsi="Arial" w:cs="Arial"/>
          <w:b/>
          <w:sz w:val="22"/>
          <w:szCs w:val="22"/>
        </w:rPr>
        <w:t>"</w:t>
      </w:r>
      <w:r w:rsidR="00E3012D">
        <w:rPr>
          <w:rFonts w:ascii="Arial" w:hAnsi="Arial" w:cs="Arial"/>
          <w:sz w:val="22"/>
          <w:szCs w:val="22"/>
        </w:rPr>
        <w:t>La Commission locale d'évaluation des charges transférées (CLECT) de Roannais Agglomération a pour mission d'évaluer pour chaque commune, les transferts de compétences réalisés. Ce montant rapproché du produit de la fiscalité professionnelle perçu par les communes avant application de la fiscalité professionnelle (FPU) permet d'obtenir le montant de l'attribution de compensation revenant à chaque commune membre. Cette évaluation est primordiale car elle permettra de maintenir l'équilibre budgétaire à la fois pour l'EPCI et pour ses communes membres et aussi déterminera, in fine, le montant de l'attribution de compensation versée à chaque commune. La commission doit donc faire une proposition d'évaluation. Un rapport est à ce titre soumis à l'approbation des communes membres.</w:t>
      </w:r>
    </w:p>
    <w:p w:rsidR="005008BB" w:rsidRDefault="005008BB" w:rsidP="00133779">
      <w:pPr>
        <w:ind w:left="1418" w:hanging="1"/>
        <w:jc w:val="both"/>
        <w:rPr>
          <w:rFonts w:ascii="Arial" w:hAnsi="Arial" w:cs="Arial"/>
          <w:sz w:val="22"/>
          <w:szCs w:val="22"/>
        </w:rPr>
      </w:pPr>
    </w:p>
    <w:p w:rsidR="005008BB" w:rsidRDefault="005008BB" w:rsidP="00133779">
      <w:pPr>
        <w:ind w:left="1418" w:hanging="1"/>
        <w:jc w:val="both"/>
        <w:rPr>
          <w:rFonts w:ascii="Arial" w:hAnsi="Arial" w:cs="Arial"/>
          <w:sz w:val="22"/>
          <w:szCs w:val="22"/>
        </w:rPr>
      </w:pPr>
      <w:r>
        <w:rPr>
          <w:rFonts w:ascii="Arial" w:hAnsi="Arial" w:cs="Arial"/>
          <w:sz w:val="22"/>
          <w:szCs w:val="22"/>
        </w:rPr>
        <w:t>Les attributions de compensation peuvent être positives ou négatives pour la commune selon les poids des charges et des produits ; elles sont versées chaque année par douzième ; elles ne peuvent pas être indexées mais modifiables dans des conditions précises définies par la loi.</w:t>
      </w:r>
    </w:p>
    <w:p w:rsidR="005008BB" w:rsidRDefault="005008BB" w:rsidP="00133779">
      <w:pPr>
        <w:ind w:left="1418" w:hanging="1"/>
        <w:jc w:val="both"/>
        <w:rPr>
          <w:rFonts w:ascii="Arial" w:hAnsi="Arial" w:cs="Arial"/>
          <w:sz w:val="22"/>
          <w:szCs w:val="22"/>
        </w:rPr>
      </w:pPr>
    </w:p>
    <w:p w:rsidR="005008BB" w:rsidRDefault="005008BB" w:rsidP="00133779">
      <w:pPr>
        <w:ind w:left="1418" w:hanging="1"/>
        <w:jc w:val="both"/>
        <w:rPr>
          <w:rFonts w:ascii="Arial" w:hAnsi="Arial" w:cs="Arial"/>
          <w:sz w:val="22"/>
          <w:szCs w:val="22"/>
        </w:rPr>
      </w:pPr>
      <w:r>
        <w:rPr>
          <w:rFonts w:ascii="Arial" w:hAnsi="Arial" w:cs="Arial"/>
          <w:sz w:val="22"/>
          <w:szCs w:val="22"/>
        </w:rPr>
        <w:t>L'attribution de compensation impacte avec un délai de deux ans, le calcul du coefficient d'intégration fiscale (CIF), critère de calcul de la DGF intercommunale.</w:t>
      </w:r>
    </w:p>
    <w:p w:rsidR="00E3012D" w:rsidRDefault="00E3012D" w:rsidP="00133779">
      <w:pPr>
        <w:ind w:left="1418" w:hanging="1"/>
        <w:jc w:val="both"/>
        <w:rPr>
          <w:rFonts w:ascii="Arial" w:hAnsi="Arial" w:cs="Arial"/>
          <w:sz w:val="22"/>
          <w:szCs w:val="22"/>
        </w:rPr>
      </w:pPr>
    </w:p>
    <w:p w:rsidR="000A5B25" w:rsidRDefault="00E3012D" w:rsidP="00133779">
      <w:pPr>
        <w:ind w:left="1418" w:hanging="1"/>
        <w:jc w:val="both"/>
        <w:rPr>
          <w:rFonts w:ascii="Arial" w:hAnsi="Arial" w:cs="Arial"/>
          <w:sz w:val="22"/>
          <w:szCs w:val="22"/>
        </w:rPr>
      </w:pPr>
      <w:r>
        <w:rPr>
          <w:rFonts w:ascii="Arial" w:hAnsi="Arial" w:cs="Arial"/>
          <w:sz w:val="22"/>
          <w:szCs w:val="22"/>
        </w:rPr>
        <w:t>La commission s'est réunie en 2013 pour évaluer les charges transférées à la suite de la fusion de la communauté d'agglomération "Grand Roanne Agglomération" et des communautés de communes du Pays de La Pacaudière, de la Côte Roannaise, de l'Ouest Roannais et du Pays de Perreux et de l'intégration de la c</w:t>
      </w:r>
      <w:r w:rsidR="00D46126">
        <w:rPr>
          <w:rFonts w:ascii="Arial" w:hAnsi="Arial" w:cs="Arial"/>
          <w:sz w:val="22"/>
          <w:szCs w:val="22"/>
        </w:rPr>
        <w:t>ommune de Saint-Alban-les-Eaux et a produit un premier rapport en septembre 2013 pour fixer les attributions de compensation de chaque commune membre.</w:t>
      </w:r>
    </w:p>
    <w:p w:rsidR="00E3012D" w:rsidRDefault="00D46126" w:rsidP="00133779">
      <w:pPr>
        <w:ind w:left="1418" w:hanging="1"/>
        <w:jc w:val="both"/>
        <w:rPr>
          <w:rFonts w:ascii="Arial" w:hAnsi="Arial" w:cs="Arial"/>
          <w:sz w:val="22"/>
          <w:szCs w:val="22"/>
        </w:rPr>
      </w:pPr>
      <w:r>
        <w:rPr>
          <w:rFonts w:ascii="Arial" w:hAnsi="Arial" w:cs="Arial"/>
          <w:sz w:val="22"/>
          <w:szCs w:val="22"/>
        </w:rPr>
        <w:t>A la suite de l'adoption des statuts en juillet 2013 et de l'adoption de l'intérêt com</w:t>
      </w:r>
      <w:r w:rsidR="00B26551">
        <w:rPr>
          <w:rFonts w:ascii="Arial" w:hAnsi="Arial" w:cs="Arial"/>
          <w:sz w:val="22"/>
          <w:szCs w:val="22"/>
        </w:rPr>
        <w:t>m</w:t>
      </w:r>
      <w:r>
        <w:rPr>
          <w:rFonts w:ascii="Arial" w:hAnsi="Arial" w:cs="Arial"/>
          <w:sz w:val="22"/>
          <w:szCs w:val="22"/>
        </w:rPr>
        <w:t>unautaire en décembre 2013, la commission s'est réunie en 2014 ; e</w:t>
      </w:r>
      <w:r w:rsidR="00033718">
        <w:rPr>
          <w:rFonts w:ascii="Arial" w:hAnsi="Arial" w:cs="Arial"/>
          <w:sz w:val="22"/>
          <w:szCs w:val="22"/>
        </w:rPr>
        <w:t>lle a produit un rapport définitif lors de sa réunion du 11 décembre 2014.</w:t>
      </w:r>
    </w:p>
    <w:p w:rsidR="00033718" w:rsidRDefault="00033718" w:rsidP="00133779">
      <w:pPr>
        <w:ind w:left="1418" w:hanging="1"/>
        <w:jc w:val="both"/>
        <w:rPr>
          <w:rFonts w:ascii="Arial" w:hAnsi="Arial" w:cs="Arial"/>
          <w:sz w:val="22"/>
          <w:szCs w:val="22"/>
        </w:rPr>
      </w:pPr>
    </w:p>
    <w:p w:rsidR="00AB0519" w:rsidRPr="00AB0519" w:rsidRDefault="00AB0519" w:rsidP="00133779">
      <w:pPr>
        <w:ind w:left="1418" w:hanging="1"/>
        <w:jc w:val="both"/>
        <w:rPr>
          <w:rFonts w:ascii="Arial" w:hAnsi="Arial" w:cs="Arial"/>
          <w:b/>
          <w:sz w:val="22"/>
          <w:szCs w:val="22"/>
        </w:rPr>
      </w:pPr>
      <w:r w:rsidRPr="00AB0519">
        <w:rPr>
          <w:rFonts w:ascii="Arial" w:hAnsi="Arial" w:cs="Arial"/>
          <w:b/>
          <w:sz w:val="22"/>
          <w:szCs w:val="22"/>
        </w:rPr>
        <w:t>Régularisation sur les ressources fiscales</w:t>
      </w:r>
    </w:p>
    <w:p w:rsidR="00AB0519" w:rsidRDefault="00AB0519" w:rsidP="00133779">
      <w:pPr>
        <w:ind w:left="1418" w:hanging="1"/>
        <w:jc w:val="both"/>
        <w:rPr>
          <w:rFonts w:ascii="Arial" w:hAnsi="Arial" w:cs="Arial"/>
          <w:sz w:val="22"/>
          <w:szCs w:val="22"/>
        </w:rPr>
      </w:pPr>
      <w:r>
        <w:rPr>
          <w:rFonts w:ascii="Arial" w:hAnsi="Arial" w:cs="Arial"/>
          <w:sz w:val="22"/>
          <w:szCs w:val="22"/>
        </w:rPr>
        <w:t>L'attribution de compensation définitive, notifiée aux communes ne tenait pas compte de la compensation part salaire ; montant total : 131 802 €.</w:t>
      </w:r>
    </w:p>
    <w:p w:rsidR="00AB0519" w:rsidRDefault="00AB0519" w:rsidP="00133779">
      <w:pPr>
        <w:ind w:left="1418" w:hanging="1"/>
        <w:jc w:val="both"/>
        <w:rPr>
          <w:rFonts w:ascii="Arial" w:hAnsi="Arial" w:cs="Arial"/>
          <w:sz w:val="22"/>
          <w:szCs w:val="22"/>
        </w:rPr>
      </w:pPr>
    </w:p>
    <w:p w:rsidR="00AB0519" w:rsidRPr="00AB0519" w:rsidRDefault="00AB0519" w:rsidP="00133779">
      <w:pPr>
        <w:ind w:left="1418" w:hanging="1"/>
        <w:jc w:val="both"/>
        <w:rPr>
          <w:rFonts w:ascii="Arial" w:hAnsi="Arial" w:cs="Arial"/>
          <w:b/>
          <w:sz w:val="22"/>
          <w:szCs w:val="22"/>
        </w:rPr>
      </w:pPr>
      <w:r w:rsidRPr="00AB0519">
        <w:rPr>
          <w:rFonts w:ascii="Arial" w:hAnsi="Arial" w:cs="Arial"/>
          <w:b/>
          <w:sz w:val="22"/>
          <w:szCs w:val="22"/>
        </w:rPr>
        <w:t>Evaluation des charges nettes transférées au 1</w:t>
      </w:r>
      <w:r w:rsidRPr="00AB0519">
        <w:rPr>
          <w:rFonts w:ascii="Arial" w:hAnsi="Arial" w:cs="Arial"/>
          <w:b/>
          <w:sz w:val="22"/>
          <w:szCs w:val="22"/>
          <w:vertAlign w:val="superscript"/>
        </w:rPr>
        <w:t>er</w:t>
      </w:r>
      <w:r w:rsidRPr="00AB0519">
        <w:rPr>
          <w:rFonts w:ascii="Arial" w:hAnsi="Arial" w:cs="Arial"/>
          <w:b/>
          <w:sz w:val="22"/>
          <w:szCs w:val="22"/>
        </w:rPr>
        <w:t xml:space="preserve"> janvier 2014</w:t>
      </w:r>
    </w:p>
    <w:p w:rsidR="00033718" w:rsidRDefault="00A80979" w:rsidP="00133779">
      <w:pPr>
        <w:ind w:left="1418" w:hanging="1"/>
        <w:jc w:val="both"/>
        <w:rPr>
          <w:rFonts w:ascii="Arial" w:hAnsi="Arial" w:cs="Arial"/>
          <w:sz w:val="22"/>
          <w:szCs w:val="22"/>
        </w:rPr>
      </w:pPr>
      <w:r>
        <w:rPr>
          <w:rFonts w:ascii="Arial" w:hAnsi="Arial" w:cs="Arial"/>
          <w:sz w:val="22"/>
          <w:szCs w:val="22"/>
        </w:rPr>
        <w:t xml:space="preserve">Les conditions d'évaluation des charges transférées ont été modifiées par la loi n° 2004-809 du 13 août 2004 relative aux libertés et responsabilité locales. Deux types de charges sont dorénavant </w:t>
      </w:r>
      <w:r w:rsidR="00B04B62">
        <w:rPr>
          <w:rFonts w:ascii="Arial" w:hAnsi="Arial" w:cs="Arial"/>
          <w:sz w:val="22"/>
          <w:szCs w:val="22"/>
        </w:rPr>
        <w:t>distingués</w:t>
      </w:r>
      <w:r>
        <w:rPr>
          <w:rFonts w:ascii="Arial" w:hAnsi="Arial" w:cs="Arial"/>
          <w:sz w:val="22"/>
          <w:szCs w:val="22"/>
        </w:rPr>
        <w:t xml:space="preserve"> :</w:t>
      </w:r>
    </w:p>
    <w:p w:rsidR="00D46126" w:rsidRDefault="00D46126" w:rsidP="00133779">
      <w:pPr>
        <w:ind w:left="1418" w:hanging="1"/>
        <w:jc w:val="both"/>
        <w:rPr>
          <w:rFonts w:ascii="Arial" w:hAnsi="Arial" w:cs="Arial"/>
          <w:sz w:val="22"/>
          <w:szCs w:val="22"/>
        </w:rPr>
      </w:pPr>
    </w:p>
    <w:p w:rsidR="00D46126" w:rsidRDefault="00D46126" w:rsidP="00133779">
      <w:pPr>
        <w:ind w:left="1418" w:hanging="1"/>
        <w:jc w:val="both"/>
        <w:rPr>
          <w:rFonts w:ascii="Arial" w:hAnsi="Arial" w:cs="Arial"/>
          <w:sz w:val="22"/>
          <w:szCs w:val="22"/>
        </w:rPr>
      </w:pPr>
    </w:p>
    <w:p w:rsidR="00D46126" w:rsidRDefault="00D46126" w:rsidP="00133779">
      <w:pPr>
        <w:ind w:left="1418" w:hanging="1"/>
        <w:jc w:val="both"/>
        <w:rPr>
          <w:rFonts w:ascii="Arial" w:hAnsi="Arial" w:cs="Arial"/>
          <w:sz w:val="22"/>
          <w:szCs w:val="22"/>
        </w:rPr>
      </w:pPr>
    </w:p>
    <w:p w:rsidR="00A80979" w:rsidRPr="00A80979" w:rsidRDefault="00A80979" w:rsidP="00A80979">
      <w:pPr>
        <w:pStyle w:val="Paragraphedeliste"/>
        <w:numPr>
          <w:ilvl w:val="0"/>
          <w:numId w:val="8"/>
        </w:numPr>
        <w:spacing w:before="80"/>
        <w:ind w:left="1702" w:hanging="284"/>
        <w:contextualSpacing w:val="0"/>
        <w:jc w:val="both"/>
        <w:rPr>
          <w:rFonts w:ascii="Arial" w:hAnsi="Arial" w:cs="Arial"/>
          <w:b/>
          <w:i/>
          <w:sz w:val="22"/>
          <w:szCs w:val="22"/>
        </w:rPr>
      </w:pPr>
      <w:r w:rsidRPr="00A80979">
        <w:rPr>
          <w:rFonts w:ascii="Arial" w:hAnsi="Arial" w:cs="Arial"/>
          <w:b/>
          <w:i/>
          <w:sz w:val="22"/>
          <w:szCs w:val="22"/>
        </w:rPr>
        <w:t>les charges de fonctionnement non liées à un équipement</w:t>
      </w:r>
    </w:p>
    <w:p w:rsidR="00A80979" w:rsidRDefault="00A80979" w:rsidP="00A80979">
      <w:pPr>
        <w:ind w:left="1701"/>
        <w:jc w:val="both"/>
        <w:rPr>
          <w:rFonts w:ascii="Arial" w:hAnsi="Arial" w:cs="Arial"/>
          <w:sz w:val="22"/>
          <w:szCs w:val="22"/>
        </w:rPr>
      </w:pPr>
      <w:r>
        <w:rPr>
          <w:rFonts w:ascii="Arial" w:hAnsi="Arial" w:cs="Arial"/>
          <w:sz w:val="22"/>
          <w:szCs w:val="22"/>
        </w:rPr>
        <w:t>les membres de la commission ont décidé :</w:t>
      </w:r>
    </w:p>
    <w:p w:rsidR="00A80979" w:rsidRDefault="00A80979" w:rsidP="00A80979">
      <w:pPr>
        <w:pStyle w:val="Paragraphedeliste"/>
        <w:numPr>
          <w:ilvl w:val="0"/>
          <w:numId w:val="8"/>
        </w:numPr>
        <w:ind w:left="1985" w:hanging="284"/>
        <w:jc w:val="both"/>
        <w:rPr>
          <w:rFonts w:ascii="Arial" w:hAnsi="Arial" w:cs="Arial"/>
          <w:sz w:val="22"/>
          <w:szCs w:val="22"/>
        </w:rPr>
      </w:pPr>
      <w:r>
        <w:rPr>
          <w:rFonts w:ascii="Arial" w:hAnsi="Arial" w:cs="Arial"/>
          <w:sz w:val="22"/>
          <w:szCs w:val="22"/>
        </w:rPr>
        <w:t>de retenir 3 années de référence pour le calcul de la charge transférée ;</w:t>
      </w:r>
    </w:p>
    <w:p w:rsidR="00A80979" w:rsidRDefault="00A80979" w:rsidP="00A80979">
      <w:pPr>
        <w:pStyle w:val="Paragraphedeliste"/>
        <w:numPr>
          <w:ilvl w:val="0"/>
          <w:numId w:val="8"/>
        </w:numPr>
        <w:ind w:left="1985" w:hanging="284"/>
        <w:jc w:val="both"/>
        <w:rPr>
          <w:rFonts w:ascii="Arial" w:hAnsi="Arial" w:cs="Arial"/>
          <w:sz w:val="22"/>
          <w:szCs w:val="22"/>
        </w:rPr>
      </w:pPr>
      <w:r>
        <w:rPr>
          <w:rFonts w:ascii="Arial" w:hAnsi="Arial" w:cs="Arial"/>
          <w:sz w:val="22"/>
          <w:szCs w:val="22"/>
        </w:rPr>
        <w:t>d'appliquer ce principe à l'ensemble des subventions, participations et charges nettes évaluées, sauf pour la contribution SDIS (année de référence 2013) et sauf pour la subvention à l'association du collège de Renaison (année de référence 2012) ;</w:t>
      </w:r>
    </w:p>
    <w:p w:rsidR="00A80979" w:rsidRDefault="00A80979" w:rsidP="00A80979">
      <w:pPr>
        <w:pStyle w:val="Paragraphedeliste"/>
        <w:numPr>
          <w:ilvl w:val="0"/>
          <w:numId w:val="8"/>
        </w:numPr>
        <w:ind w:left="1985" w:hanging="284"/>
        <w:jc w:val="both"/>
        <w:rPr>
          <w:rFonts w:ascii="Arial" w:hAnsi="Arial" w:cs="Arial"/>
          <w:sz w:val="22"/>
          <w:szCs w:val="22"/>
        </w:rPr>
      </w:pPr>
      <w:r>
        <w:rPr>
          <w:rFonts w:ascii="Arial" w:hAnsi="Arial" w:cs="Arial"/>
          <w:sz w:val="22"/>
          <w:szCs w:val="22"/>
        </w:rPr>
        <w:t>d'arrondir à l'euro la somme reversée aux communes ;</w:t>
      </w:r>
    </w:p>
    <w:p w:rsidR="00A80979" w:rsidRPr="00A80979" w:rsidRDefault="00A80979" w:rsidP="00A80979">
      <w:pPr>
        <w:pStyle w:val="Paragraphedeliste"/>
        <w:numPr>
          <w:ilvl w:val="0"/>
          <w:numId w:val="8"/>
        </w:numPr>
        <w:spacing w:before="80"/>
        <w:ind w:left="1702" w:hanging="284"/>
        <w:contextualSpacing w:val="0"/>
        <w:jc w:val="both"/>
        <w:rPr>
          <w:rFonts w:ascii="Arial" w:hAnsi="Arial" w:cs="Arial"/>
          <w:b/>
          <w:i/>
          <w:sz w:val="22"/>
          <w:szCs w:val="22"/>
        </w:rPr>
      </w:pPr>
      <w:r w:rsidRPr="00A80979">
        <w:rPr>
          <w:rFonts w:ascii="Arial" w:hAnsi="Arial" w:cs="Arial"/>
          <w:b/>
          <w:i/>
          <w:sz w:val="22"/>
          <w:szCs w:val="22"/>
        </w:rPr>
        <w:t>le</w:t>
      </w:r>
      <w:r w:rsidR="005008BB">
        <w:rPr>
          <w:rFonts w:ascii="Arial" w:hAnsi="Arial" w:cs="Arial"/>
          <w:b/>
          <w:i/>
          <w:sz w:val="22"/>
          <w:szCs w:val="22"/>
        </w:rPr>
        <w:t>s charges liées à un équipement</w:t>
      </w:r>
    </w:p>
    <w:p w:rsidR="00A80979" w:rsidRDefault="005008BB" w:rsidP="005008BB">
      <w:pPr>
        <w:ind w:left="1701" w:hanging="1"/>
        <w:jc w:val="both"/>
        <w:rPr>
          <w:rFonts w:ascii="Arial" w:hAnsi="Arial" w:cs="Arial"/>
          <w:sz w:val="22"/>
          <w:szCs w:val="22"/>
        </w:rPr>
      </w:pPr>
      <w:r>
        <w:rPr>
          <w:rFonts w:ascii="Arial" w:hAnsi="Arial" w:cs="Arial"/>
          <w:sz w:val="22"/>
          <w:szCs w:val="22"/>
        </w:rPr>
        <w:t>le coût est calculé sur la base d'un coût moyen annualisé ; ces dépenses sont prises en compte pour une durée normale d'utilisation et ramenées à une seule année.</w:t>
      </w:r>
    </w:p>
    <w:p w:rsidR="00A80979" w:rsidRDefault="00A80979" w:rsidP="00133779">
      <w:pPr>
        <w:ind w:left="1418" w:hanging="1"/>
        <w:jc w:val="both"/>
        <w:rPr>
          <w:rFonts w:ascii="Arial" w:hAnsi="Arial" w:cs="Arial"/>
          <w:sz w:val="22"/>
          <w:szCs w:val="22"/>
        </w:rPr>
      </w:pPr>
    </w:p>
    <w:p w:rsidR="00E3012D" w:rsidRPr="00AB0519" w:rsidRDefault="00AB0519" w:rsidP="00133779">
      <w:pPr>
        <w:ind w:left="1418" w:hanging="1"/>
        <w:jc w:val="both"/>
        <w:rPr>
          <w:rFonts w:ascii="Arial" w:hAnsi="Arial" w:cs="Arial"/>
          <w:b/>
          <w:sz w:val="22"/>
          <w:szCs w:val="22"/>
        </w:rPr>
      </w:pPr>
      <w:r w:rsidRPr="00AB0519">
        <w:rPr>
          <w:rFonts w:ascii="Arial" w:hAnsi="Arial" w:cs="Arial"/>
          <w:b/>
          <w:sz w:val="22"/>
          <w:szCs w:val="22"/>
        </w:rPr>
        <w:t>Récapitulatif des charges transférées au 1</w:t>
      </w:r>
      <w:r w:rsidRPr="00AB0519">
        <w:rPr>
          <w:rFonts w:ascii="Arial" w:hAnsi="Arial" w:cs="Arial"/>
          <w:b/>
          <w:sz w:val="22"/>
          <w:szCs w:val="22"/>
          <w:vertAlign w:val="superscript"/>
        </w:rPr>
        <w:t>er</w:t>
      </w:r>
      <w:r w:rsidRPr="00AB0519">
        <w:rPr>
          <w:rFonts w:ascii="Arial" w:hAnsi="Arial" w:cs="Arial"/>
          <w:b/>
          <w:sz w:val="22"/>
          <w:szCs w:val="22"/>
        </w:rPr>
        <w:t xml:space="preserve"> janvier 2014</w:t>
      </w:r>
    </w:p>
    <w:p w:rsidR="00E123D4" w:rsidRDefault="00E123D4" w:rsidP="00133779">
      <w:pPr>
        <w:ind w:left="1418" w:hanging="1"/>
        <w:jc w:val="both"/>
        <w:rPr>
          <w:rFonts w:ascii="Arial" w:hAnsi="Arial" w:cs="Arial"/>
          <w:sz w:val="22"/>
          <w:szCs w:val="22"/>
        </w:rPr>
      </w:pPr>
    </w:p>
    <w:p w:rsidR="002A37C2" w:rsidRDefault="00E123D4" w:rsidP="00133779">
      <w:pPr>
        <w:ind w:left="1418" w:hanging="1"/>
        <w:jc w:val="both"/>
        <w:rPr>
          <w:rFonts w:ascii="Arial" w:hAnsi="Arial" w:cs="Arial"/>
          <w:sz w:val="22"/>
          <w:szCs w:val="22"/>
        </w:rPr>
      </w:pPr>
      <w:r>
        <w:rPr>
          <w:rFonts w:ascii="Arial" w:hAnsi="Arial" w:cs="Arial"/>
          <w:sz w:val="22"/>
          <w:szCs w:val="22"/>
        </w:rPr>
        <w:t>Rappel part salaire au 01/01:2013 : 131 802 € (majoration de l'</w:t>
      </w:r>
      <w:r w:rsidR="00E00894">
        <w:rPr>
          <w:rFonts w:ascii="Arial" w:hAnsi="Arial" w:cs="Arial"/>
          <w:sz w:val="22"/>
          <w:szCs w:val="22"/>
        </w:rPr>
        <w:t>attribution de compensation (</w:t>
      </w:r>
      <w:r>
        <w:rPr>
          <w:rFonts w:ascii="Arial" w:hAnsi="Arial" w:cs="Arial"/>
          <w:sz w:val="22"/>
          <w:szCs w:val="22"/>
        </w:rPr>
        <w:t>AC</w:t>
      </w:r>
      <w:r w:rsidR="00E00894">
        <w:rPr>
          <w:rFonts w:ascii="Arial" w:hAnsi="Arial" w:cs="Arial"/>
          <w:sz w:val="22"/>
          <w:szCs w:val="22"/>
        </w:rPr>
        <w:t>)</w:t>
      </w:r>
      <w:r>
        <w:rPr>
          <w:rFonts w:ascii="Arial" w:hAnsi="Arial" w:cs="Arial"/>
          <w:sz w:val="22"/>
          <w:szCs w:val="22"/>
        </w:rPr>
        <w:t xml:space="preserve"> des communes)</w:t>
      </w:r>
    </w:p>
    <w:p w:rsidR="00E123D4" w:rsidRDefault="00E123D4" w:rsidP="00133779">
      <w:pPr>
        <w:ind w:left="1418" w:hanging="1"/>
        <w:jc w:val="both"/>
        <w:rPr>
          <w:rFonts w:ascii="Arial" w:hAnsi="Arial" w:cs="Arial"/>
          <w:sz w:val="22"/>
          <w:szCs w:val="22"/>
        </w:rPr>
      </w:pPr>
    </w:p>
    <w:p w:rsidR="00273C39" w:rsidRDefault="00E123D4" w:rsidP="00133779">
      <w:pPr>
        <w:ind w:left="1418" w:hanging="1"/>
        <w:jc w:val="both"/>
        <w:rPr>
          <w:rFonts w:ascii="Arial" w:hAnsi="Arial" w:cs="Arial"/>
          <w:sz w:val="22"/>
          <w:szCs w:val="22"/>
        </w:rPr>
      </w:pPr>
      <w:r>
        <w:rPr>
          <w:rFonts w:ascii="Arial" w:hAnsi="Arial" w:cs="Arial"/>
          <w:sz w:val="22"/>
          <w:szCs w:val="22"/>
        </w:rPr>
        <w:t>Retour aux comm</w:t>
      </w:r>
      <w:r w:rsidR="00E00894">
        <w:rPr>
          <w:rFonts w:ascii="Arial" w:hAnsi="Arial" w:cs="Arial"/>
          <w:sz w:val="22"/>
          <w:szCs w:val="22"/>
        </w:rPr>
        <w:t xml:space="preserve">unes : 6 109 € (majoration de l'attribution de compensation (AC) </w:t>
      </w:r>
      <w:r>
        <w:rPr>
          <w:rFonts w:ascii="Arial" w:hAnsi="Arial" w:cs="Arial"/>
          <w:sz w:val="22"/>
          <w:szCs w:val="22"/>
        </w:rPr>
        <w:t>des communes)</w:t>
      </w:r>
    </w:p>
    <w:p w:rsidR="00E123D4" w:rsidRDefault="00E123D4" w:rsidP="00133779">
      <w:pPr>
        <w:ind w:left="1418" w:hanging="1"/>
        <w:jc w:val="both"/>
        <w:rPr>
          <w:rFonts w:ascii="Arial" w:hAnsi="Arial" w:cs="Arial"/>
          <w:sz w:val="22"/>
          <w:szCs w:val="22"/>
        </w:rPr>
      </w:pPr>
    </w:p>
    <w:p w:rsidR="00E123D4" w:rsidRDefault="00E123D4" w:rsidP="00133779">
      <w:pPr>
        <w:ind w:left="1418" w:hanging="1"/>
        <w:jc w:val="both"/>
        <w:rPr>
          <w:rFonts w:ascii="Arial" w:hAnsi="Arial" w:cs="Arial"/>
          <w:sz w:val="22"/>
          <w:szCs w:val="22"/>
        </w:rPr>
      </w:pPr>
      <w:r>
        <w:rPr>
          <w:rFonts w:ascii="Arial" w:hAnsi="Arial" w:cs="Arial"/>
          <w:sz w:val="22"/>
          <w:szCs w:val="22"/>
        </w:rPr>
        <w:t>Transfert des communes à Roannais Agglomérati</w:t>
      </w:r>
      <w:r w:rsidR="00E00894">
        <w:rPr>
          <w:rFonts w:ascii="Arial" w:hAnsi="Arial" w:cs="Arial"/>
          <w:sz w:val="22"/>
          <w:szCs w:val="22"/>
        </w:rPr>
        <w:t>on : 818 516 € (diminution de l'attribution de compensation (</w:t>
      </w:r>
      <w:r>
        <w:rPr>
          <w:rFonts w:ascii="Arial" w:hAnsi="Arial" w:cs="Arial"/>
          <w:sz w:val="22"/>
          <w:szCs w:val="22"/>
        </w:rPr>
        <w:t>AC</w:t>
      </w:r>
      <w:r w:rsidR="00E00894">
        <w:rPr>
          <w:rFonts w:ascii="Arial" w:hAnsi="Arial" w:cs="Arial"/>
          <w:sz w:val="22"/>
          <w:szCs w:val="22"/>
        </w:rPr>
        <w:t>)</w:t>
      </w:r>
      <w:r>
        <w:rPr>
          <w:rFonts w:ascii="Arial" w:hAnsi="Arial" w:cs="Arial"/>
          <w:sz w:val="22"/>
          <w:szCs w:val="22"/>
        </w:rPr>
        <w:t xml:space="preserve"> des communes) :</w:t>
      </w:r>
    </w:p>
    <w:p w:rsidR="00E123D4" w:rsidRDefault="00E123D4" w:rsidP="00E00894">
      <w:pPr>
        <w:spacing w:before="20"/>
        <w:ind w:left="1418"/>
        <w:jc w:val="both"/>
        <w:rPr>
          <w:rFonts w:ascii="Arial" w:hAnsi="Arial" w:cs="Arial"/>
          <w:sz w:val="22"/>
          <w:szCs w:val="22"/>
        </w:rPr>
      </w:pPr>
      <w:r>
        <w:rPr>
          <w:rFonts w:ascii="Arial" w:hAnsi="Arial" w:cs="Arial"/>
          <w:sz w:val="22"/>
          <w:szCs w:val="22"/>
        </w:rPr>
        <w:t>- sport de haut niveau : 3 897 €</w:t>
      </w:r>
    </w:p>
    <w:p w:rsidR="00E123D4" w:rsidRDefault="00E123D4" w:rsidP="00E00894">
      <w:pPr>
        <w:spacing w:before="20"/>
        <w:ind w:left="1418"/>
        <w:jc w:val="both"/>
        <w:rPr>
          <w:rFonts w:ascii="Arial" w:hAnsi="Arial" w:cs="Arial"/>
          <w:sz w:val="22"/>
          <w:szCs w:val="22"/>
        </w:rPr>
      </w:pPr>
      <w:r>
        <w:rPr>
          <w:rFonts w:ascii="Arial" w:hAnsi="Arial" w:cs="Arial"/>
          <w:sz w:val="22"/>
          <w:szCs w:val="22"/>
        </w:rPr>
        <w:t>- site de proximité : 1 600 €</w:t>
      </w:r>
    </w:p>
    <w:p w:rsidR="00E123D4" w:rsidRDefault="00E123D4" w:rsidP="00E00894">
      <w:pPr>
        <w:spacing w:before="20"/>
        <w:ind w:left="1418"/>
        <w:jc w:val="both"/>
        <w:rPr>
          <w:rFonts w:ascii="Arial" w:hAnsi="Arial" w:cs="Arial"/>
          <w:sz w:val="22"/>
          <w:szCs w:val="22"/>
        </w:rPr>
      </w:pPr>
      <w:r>
        <w:rPr>
          <w:rFonts w:ascii="Arial" w:hAnsi="Arial" w:cs="Arial"/>
          <w:sz w:val="22"/>
          <w:szCs w:val="22"/>
        </w:rPr>
        <w:t>- petite enfance : 25 657 €</w:t>
      </w:r>
    </w:p>
    <w:p w:rsidR="00E123D4" w:rsidRDefault="00E123D4" w:rsidP="00E00894">
      <w:pPr>
        <w:spacing w:before="20"/>
        <w:ind w:left="1418"/>
        <w:jc w:val="both"/>
        <w:rPr>
          <w:rFonts w:ascii="Arial" w:hAnsi="Arial" w:cs="Arial"/>
          <w:sz w:val="22"/>
          <w:szCs w:val="22"/>
        </w:rPr>
      </w:pPr>
      <w:r>
        <w:rPr>
          <w:rFonts w:ascii="Arial" w:hAnsi="Arial" w:cs="Arial"/>
          <w:sz w:val="22"/>
          <w:szCs w:val="22"/>
        </w:rPr>
        <w:t>- action culturelle : école de musique : 10 395 €</w:t>
      </w:r>
    </w:p>
    <w:p w:rsidR="00E123D4" w:rsidRDefault="00E123D4" w:rsidP="00E00894">
      <w:pPr>
        <w:spacing w:before="20"/>
        <w:ind w:left="1418"/>
        <w:jc w:val="both"/>
        <w:rPr>
          <w:rFonts w:ascii="Arial" w:hAnsi="Arial" w:cs="Arial"/>
          <w:sz w:val="22"/>
          <w:szCs w:val="22"/>
        </w:rPr>
      </w:pPr>
      <w:r>
        <w:rPr>
          <w:rFonts w:ascii="Arial" w:hAnsi="Arial" w:cs="Arial"/>
          <w:sz w:val="22"/>
          <w:szCs w:val="22"/>
        </w:rPr>
        <w:t>- numérique : 7 801 €</w:t>
      </w:r>
    </w:p>
    <w:p w:rsidR="00E123D4" w:rsidRDefault="00E123D4" w:rsidP="00E00894">
      <w:pPr>
        <w:spacing w:before="20"/>
        <w:ind w:left="1418"/>
        <w:jc w:val="both"/>
        <w:rPr>
          <w:rFonts w:ascii="Arial" w:hAnsi="Arial" w:cs="Arial"/>
          <w:sz w:val="22"/>
          <w:szCs w:val="22"/>
        </w:rPr>
      </w:pPr>
      <w:r>
        <w:rPr>
          <w:rFonts w:ascii="Arial" w:hAnsi="Arial" w:cs="Arial"/>
          <w:sz w:val="22"/>
          <w:szCs w:val="22"/>
        </w:rPr>
        <w:t>- incendie secours : 769 166 €.</w:t>
      </w:r>
    </w:p>
    <w:p w:rsidR="00E123D4" w:rsidRDefault="00E123D4" w:rsidP="00133779">
      <w:pPr>
        <w:ind w:left="1418" w:hanging="1"/>
        <w:jc w:val="both"/>
        <w:rPr>
          <w:rFonts w:ascii="Arial" w:hAnsi="Arial" w:cs="Arial"/>
          <w:sz w:val="22"/>
          <w:szCs w:val="22"/>
        </w:rPr>
      </w:pPr>
    </w:p>
    <w:p w:rsidR="00E123D4" w:rsidRDefault="00E123D4" w:rsidP="00133779">
      <w:pPr>
        <w:ind w:left="1418" w:hanging="1"/>
        <w:jc w:val="both"/>
        <w:rPr>
          <w:rFonts w:ascii="Arial" w:hAnsi="Arial" w:cs="Arial"/>
          <w:sz w:val="22"/>
          <w:szCs w:val="22"/>
        </w:rPr>
      </w:pPr>
      <w:r>
        <w:rPr>
          <w:rFonts w:ascii="Arial" w:hAnsi="Arial" w:cs="Arial"/>
          <w:sz w:val="22"/>
          <w:szCs w:val="22"/>
        </w:rPr>
        <w:t>Le montant total de charges transférées des communes à Roannais Ag</w:t>
      </w:r>
      <w:r w:rsidR="00E00894">
        <w:rPr>
          <w:rFonts w:ascii="Arial" w:hAnsi="Arial" w:cs="Arial"/>
          <w:sz w:val="22"/>
          <w:szCs w:val="22"/>
        </w:rPr>
        <w:t>glomération s'élève à 680 605 € (soit 818 516 € - 131 802 € - 6 109 €).</w:t>
      </w:r>
    </w:p>
    <w:p w:rsidR="00E123D4" w:rsidRDefault="00E123D4" w:rsidP="00133779">
      <w:pPr>
        <w:ind w:left="1418" w:hanging="1"/>
        <w:jc w:val="both"/>
        <w:rPr>
          <w:rFonts w:ascii="Arial" w:hAnsi="Arial" w:cs="Arial"/>
          <w:sz w:val="22"/>
          <w:szCs w:val="22"/>
        </w:rPr>
      </w:pPr>
    </w:p>
    <w:p w:rsidR="00E123D4" w:rsidRPr="009B64BA" w:rsidRDefault="00E123D4" w:rsidP="00133779">
      <w:pPr>
        <w:ind w:left="1418" w:hanging="1"/>
        <w:jc w:val="both"/>
        <w:rPr>
          <w:rFonts w:ascii="Arial" w:hAnsi="Arial" w:cs="Arial"/>
          <w:b/>
          <w:sz w:val="22"/>
          <w:szCs w:val="22"/>
        </w:rPr>
      </w:pPr>
      <w:r>
        <w:rPr>
          <w:rFonts w:ascii="Arial" w:hAnsi="Arial" w:cs="Arial"/>
          <w:sz w:val="22"/>
          <w:szCs w:val="22"/>
        </w:rPr>
        <w:t>Pour Riorges, le montant de l'attribution de compensation défini</w:t>
      </w:r>
      <w:r w:rsidR="00E00894">
        <w:rPr>
          <w:rFonts w:ascii="Arial" w:hAnsi="Arial" w:cs="Arial"/>
          <w:sz w:val="22"/>
          <w:szCs w:val="22"/>
        </w:rPr>
        <w:t>tive 2014 s'élève à 2 257 552 €.</w:t>
      </w:r>
      <w:r w:rsidR="009B64BA">
        <w:rPr>
          <w:rFonts w:ascii="Arial" w:hAnsi="Arial" w:cs="Arial"/>
          <w:b/>
          <w:sz w:val="22"/>
          <w:szCs w:val="22"/>
        </w:rPr>
        <w:t>"</w:t>
      </w:r>
    </w:p>
    <w:p w:rsidR="00E123D4" w:rsidRDefault="00E123D4" w:rsidP="00133779">
      <w:pPr>
        <w:ind w:left="1418" w:hanging="1"/>
        <w:jc w:val="both"/>
        <w:rPr>
          <w:rFonts w:ascii="Arial" w:hAnsi="Arial" w:cs="Arial"/>
          <w:sz w:val="22"/>
          <w:szCs w:val="22"/>
        </w:rPr>
      </w:pPr>
    </w:p>
    <w:p w:rsidR="00E123D4" w:rsidRDefault="00E123D4" w:rsidP="00133779">
      <w:pPr>
        <w:ind w:left="1418" w:hanging="1"/>
        <w:jc w:val="both"/>
        <w:rPr>
          <w:rFonts w:ascii="Arial" w:hAnsi="Arial" w:cs="Arial"/>
          <w:sz w:val="22"/>
          <w:szCs w:val="22"/>
        </w:rPr>
      </w:pPr>
    </w:p>
    <w:p w:rsidR="00E123D4" w:rsidRDefault="00E123D4" w:rsidP="00133779">
      <w:pPr>
        <w:ind w:left="1418" w:hanging="1"/>
        <w:jc w:val="both"/>
        <w:rPr>
          <w:rFonts w:ascii="Arial" w:hAnsi="Arial" w:cs="Arial"/>
          <w:sz w:val="22"/>
          <w:szCs w:val="22"/>
        </w:rPr>
      </w:pPr>
      <w:r>
        <w:rPr>
          <w:rFonts w:ascii="Arial" w:hAnsi="Arial" w:cs="Arial"/>
          <w:sz w:val="22"/>
          <w:szCs w:val="22"/>
        </w:rPr>
        <w:t>Vu la loi n° 2004-809 du 13 août 2004 relative aux libertés et responsabilité locales ;</w:t>
      </w:r>
    </w:p>
    <w:p w:rsidR="00E123D4" w:rsidRDefault="00E123D4" w:rsidP="00133779">
      <w:pPr>
        <w:ind w:left="1418" w:hanging="1"/>
        <w:jc w:val="both"/>
        <w:rPr>
          <w:rFonts w:ascii="Arial" w:hAnsi="Arial" w:cs="Arial"/>
          <w:sz w:val="22"/>
          <w:szCs w:val="22"/>
        </w:rPr>
      </w:pPr>
    </w:p>
    <w:p w:rsidR="0071301F" w:rsidRDefault="0071301F" w:rsidP="0071301F">
      <w:pPr>
        <w:ind w:left="1418"/>
        <w:jc w:val="both"/>
        <w:rPr>
          <w:rFonts w:ascii="Arial" w:hAnsi="Arial" w:cs="Arial"/>
          <w:sz w:val="22"/>
          <w:szCs w:val="22"/>
        </w:rPr>
      </w:pPr>
      <w:r>
        <w:rPr>
          <w:rFonts w:ascii="Arial" w:hAnsi="Arial" w:cs="Arial"/>
          <w:sz w:val="22"/>
          <w:szCs w:val="22"/>
        </w:rPr>
        <w:t xml:space="preserve">Vu </w:t>
      </w:r>
      <w:r w:rsidRPr="00133779">
        <w:rPr>
          <w:rFonts w:ascii="Arial" w:hAnsi="Arial" w:cs="Arial"/>
          <w:sz w:val="22"/>
          <w:szCs w:val="22"/>
        </w:rPr>
        <w:t>les articles L</w:t>
      </w:r>
      <w:r>
        <w:rPr>
          <w:rFonts w:ascii="Arial" w:hAnsi="Arial" w:cs="Arial"/>
          <w:sz w:val="22"/>
          <w:szCs w:val="22"/>
        </w:rPr>
        <w:t xml:space="preserve"> </w:t>
      </w:r>
      <w:r w:rsidRPr="00133779">
        <w:rPr>
          <w:rFonts w:ascii="Arial" w:hAnsi="Arial" w:cs="Arial"/>
          <w:sz w:val="22"/>
          <w:szCs w:val="22"/>
        </w:rPr>
        <w:t xml:space="preserve">1321-1 et suivants </w:t>
      </w:r>
      <w:r w:rsidR="00273C39">
        <w:rPr>
          <w:rFonts w:ascii="Arial" w:hAnsi="Arial" w:cs="Arial"/>
          <w:sz w:val="22"/>
          <w:szCs w:val="22"/>
        </w:rPr>
        <w:t xml:space="preserve">et l'article L 5211-5 III </w:t>
      </w:r>
      <w:r w:rsidRPr="00133779">
        <w:rPr>
          <w:rFonts w:ascii="Arial" w:hAnsi="Arial" w:cs="Arial"/>
          <w:sz w:val="22"/>
          <w:szCs w:val="22"/>
        </w:rPr>
        <w:t>du Code Général des Collectivités Territoriales</w:t>
      </w:r>
      <w:r>
        <w:rPr>
          <w:rFonts w:ascii="Arial" w:hAnsi="Arial" w:cs="Arial"/>
          <w:sz w:val="22"/>
          <w:szCs w:val="22"/>
        </w:rPr>
        <w:t xml:space="preserve"> ;</w:t>
      </w:r>
    </w:p>
    <w:p w:rsidR="0071301F" w:rsidRPr="00133779" w:rsidRDefault="0071301F" w:rsidP="00AB3C5E">
      <w:pPr>
        <w:spacing w:before="200"/>
        <w:ind w:left="1418"/>
        <w:jc w:val="both"/>
        <w:rPr>
          <w:rFonts w:ascii="Arial" w:hAnsi="Arial" w:cs="Arial"/>
          <w:iCs/>
          <w:sz w:val="22"/>
          <w:szCs w:val="22"/>
        </w:rPr>
      </w:pPr>
      <w:r>
        <w:rPr>
          <w:rFonts w:ascii="Arial" w:hAnsi="Arial" w:cs="Arial"/>
          <w:sz w:val="22"/>
          <w:szCs w:val="22"/>
        </w:rPr>
        <w:t xml:space="preserve">Vu </w:t>
      </w:r>
      <w:r w:rsidRPr="00133779">
        <w:rPr>
          <w:rFonts w:ascii="Arial" w:hAnsi="Arial" w:cs="Arial"/>
          <w:sz w:val="22"/>
          <w:szCs w:val="22"/>
        </w:rPr>
        <w:t>l’article 1609 nonies C du Code Général des Impôts, modifié par l’article 183 de la loi relative aux libertés et responsabilités locales du 13 août 2004</w:t>
      </w:r>
      <w:r>
        <w:rPr>
          <w:rFonts w:ascii="Arial" w:hAnsi="Arial" w:cs="Arial"/>
          <w:sz w:val="22"/>
          <w:szCs w:val="22"/>
        </w:rPr>
        <w:t xml:space="preserve"> ;</w:t>
      </w:r>
    </w:p>
    <w:p w:rsidR="0071301F" w:rsidRPr="00133779" w:rsidRDefault="0071301F" w:rsidP="00AB3C5E">
      <w:pPr>
        <w:spacing w:before="200"/>
        <w:ind w:left="1418"/>
        <w:jc w:val="both"/>
        <w:rPr>
          <w:rFonts w:ascii="Arial" w:hAnsi="Arial" w:cs="Arial"/>
          <w:iCs/>
          <w:sz w:val="22"/>
          <w:szCs w:val="22"/>
        </w:rPr>
      </w:pPr>
      <w:r>
        <w:rPr>
          <w:rFonts w:ascii="Arial" w:hAnsi="Arial" w:cs="Arial"/>
          <w:sz w:val="22"/>
          <w:szCs w:val="22"/>
        </w:rPr>
        <w:t>Vu</w:t>
      </w:r>
      <w:r w:rsidRPr="00133779">
        <w:rPr>
          <w:rFonts w:ascii="Arial" w:hAnsi="Arial" w:cs="Arial"/>
          <w:sz w:val="22"/>
          <w:szCs w:val="22"/>
        </w:rPr>
        <w:t xml:space="preserve"> les arrêtés préfectoraux du 27 novembre 1991 et du 9 décembre 1999 respectivement créateur du </w:t>
      </w:r>
      <w:r>
        <w:rPr>
          <w:rFonts w:ascii="Arial" w:hAnsi="Arial" w:cs="Arial"/>
          <w:sz w:val="22"/>
          <w:szCs w:val="22"/>
        </w:rPr>
        <w:t>d</w:t>
      </w:r>
      <w:r w:rsidRPr="00133779">
        <w:rPr>
          <w:rFonts w:ascii="Arial" w:hAnsi="Arial" w:cs="Arial"/>
          <w:sz w:val="22"/>
          <w:szCs w:val="22"/>
        </w:rPr>
        <w:t xml:space="preserve">istrict de Grand Roanne comprenant 6 communes et le transformant en </w:t>
      </w:r>
      <w:r>
        <w:rPr>
          <w:rFonts w:ascii="Arial" w:hAnsi="Arial" w:cs="Arial"/>
          <w:sz w:val="22"/>
          <w:szCs w:val="22"/>
        </w:rPr>
        <w:t>c</w:t>
      </w:r>
      <w:r w:rsidRPr="00133779">
        <w:rPr>
          <w:rFonts w:ascii="Arial" w:hAnsi="Arial" w:cs="Arial"/>
          <w:sz w:val="22"/>
          <w:szCs w:val="22"/>
        </w:rPr>
        <w:t>ommunauté d’Agglomération</w:t>
      </w:r>
      <w:r>
        <w:rPr>
          <w:rFonts w:ascii="Arial" w:hAnsi="Arial" w:cs="Arial"/>
          <w:sz w:val="22"/>
          <w:szCs w:val="22"/>
        </w:rPr>
        <w:t xml:space="preserve"> ;</w:t>
      </w:r>
    </w:p>
    <w:p w:rsidR="009B64BA" w:rsidRDefault="009B64BA" w:rsidP="00AB3C5E">
      <w:pPr>
        <w:spacing w:before="200"/>
        <w:ind w:left="1418"/>
        <w:jc w:val="both"/>
        <w:rPr>
          <w:rFonts w:ascii="Arial" w:hAnsi="Arial" w:cs="Arial"/>
          <w:sz w:val="22"/>
          <w:szCs w:val="22"/>
        </w:rPr>
      </w:pPr>
    </w:p>
    <w:p w:rsidR="009B64BA" w:rsidRDefault="009B64BA" w:rsidP="00AB3C5E">
      <w:pPr>
        <w:spacing w:before="200"/>
        <w:ind w:left="1418"/>
        <w:jc w:val="both"/>
        <w:rPr>
          <w:rFonts w:ascii="Arial" w:hAnsi="Arial" w:cs="Arial"/>
          <w:sz w:val="22"/>
          <w:szCs w:val="22"/>
        </w:rPr>
      </w:pPr>
    </w:p>
    <w:p w:rsidR="009B64BA" w:rsidRDefault="009B64BA" w:rsidP="00AB3C5E">
      <w:pPr>
        <w:spacing w:before="200"/>
        <w:ind w:left="1418"/>
        <w:jc w:val="both"/>
        <w:rPr>
          <w:rFonts w:ascii="Arial" w:hAnsi="Arial" w:cs="Arial"/>
          <w:sz w:val="22"/>
          <w:szCs w:val="22"/>
        </w:rPr>
      </w:pPr>
    </w:p>
    <w:p w:rsidR="0071301F" w:rsidRDefault="0071301F" w:rsidP="00AB3C5E">
      <w:pPr>
        <w:spacing w:before="200"/>
        <w:ind w:left="1418"/>
        <w:jc w:val="both"/>
        <w:rPr>
          <w:rFonts w:ascii="Arial" w:hAnsi="Arial" w:cs="Arial"/>
          <w:sz w:val="22"/>
          <w:szCs w:val="22"/>
        </w:rPr>
      </w:pPr>
      <w:r>
        <w:rPr>
          <w:rFonts w:ascii="Arial" w:hAnsi="Arial" w:cs="Arial"/>
          <w:sz w:val="22"/>
          <w:szCs w:val="22"/>
        </w:rPr>
        <w:t xml:space="preserve">Vu </w:t>
      </w:r>
      <w:r w:rsidRPr="00133779">
        <w:rPr>
          <w:rFonts w:ascii="Arial" w:hAnsi="Arial" w:cs="Arial"/>
          <w:sz w:val="22"/>
          <w:szCs w:val="22"/>
        </w:rPr>
        <w:t xml:space="preserve">la délibération du 31 janvier 2011 du </w:t>
      </w:r>
      <w:r>
        <w:rPr>
          <w:rFonts w:ascii="Arial" w:hAnsi="Arial" w:cs="Arial"/>
          <w:sz w:val="22"/>
          <w:szCs w:val="22"/>
        </w:rPr>
        <w:t>c</w:t>
      </w:r>
      <w:r w:rsidRPr="00133779">
        <w:rPr>
          <w:rFonts w:ascii="Arial" w:hAnsi="Arial" w:cs="Arial"/>
          <w:sz w:val="22"/>
          <w:szCs w:val="22"/>
        </w:rPr>
        <w:t>onseil communautaire de Grand Roanne Agglomération proposant l’extension des compétences de la communauté d’agglomération</w:t>
      </w:r>
      <w:r>
        <w:rPr>
          <w:rFonts w:ascii="Arial" w:hAnsi="Arial" w:cs="Arial"/>
          <w:sz w:val="22"/>
          <w:szCs w:val="22"/>
        </w:rPr>
        <w:t xml:space="preserve"> ;</w:t>
      </w:r>
    </w:p>
    <w:p w:rsidR="0071301F" w:rsidRPr="00133779" w:rsidRDefault="0071301F" w:rsidP="00AB3C5E">
      <w:pPr>
        <w:spacing w:before="200"/>
        <w:ind w:left="1418"/>
        <w:jc w:val="both"/>
        <w:rPr>
          <w:rFonts w:ascii="Arial" w:hAnsi="Arial" w:cs="Arial"/>
          <w:iCs/>
          <w:sz w:val="22"/>
          <w:szCs w:val="22"/>
        </w:rPr>
      </w:pPr>
      <w:r>
        <w:rPr>
          <w:rFonts w:ascii="Arial" w:hAnsi="Arial" w:cs="Arial"/>
          <w:sz w:val="22"/>
          <w:szCs w:val="22"/>
        </w:rPr>
        <w:t xml:space="preserve">Vu </w:t>
      </w:r>
      <w:r w:rsidRPr="00133779">
        <w:rPr>
          <w:rFonts w:ascii="Arial" w:hAnsi="Arial" w:cs="Arial"/>
          <w:sz w:val="22"/>
          <w:szCs w:val="22"/>
        </w:rPr>
        <w:t>les délibérations des communes membres</w:t>
      </w:r>
      <w:r>
        <w:rPr>
          <w:rFonts w:ascii="Arial" w:hAnsi="Arial" w:cs="Arial"/>
          <w:sz w:val="22"/>
          <w:szCs w:val="22"/>
        </w:rPr>
        <w:t xml:space="preserve"> ;</w:t>
      </w:r>
    </w:p>
    <w:p w:rsidR="0071301F" w:rsidRDefault="0071301F" w:rsidP="00AB3C5E">
      <w:pPr>
        <w:spacing w:before="200"/>
        <w:ind w:left="1418"/>
        <w:jc w:val="both"/>
        <w:rPr>
          <w:rFonts w:ascii="Arial" w:hAnsi="Arial" w:cs="Arial"/>
          <w:sz w:val="22"/>
          <w:szCs w:val="22"/>
        </w:rPr>
      </w:pPr>
      <w:r>
        <w:rPr>
          <w:rFonts w:ascii="Arial" w:hAnsi="Arial" w:cs="Arial"/>
          <w:sz w:val="22"/>
          <w:szCs w:val="22"/>
        </w:rPr>
        <w:t xml:space="preserve">Vu </w:t>
      </w:r>
      <w:r w:rsidRPr="00133779">
        <w:rPr>
          <w:rFonts w:ascii="Arial" w:hAnsi="Arial" w:cs="Arial"/>
          <w:sz w:val="22"/>
          <w:szCs w:val="22"/>
        </w:rPr>
        <w:t xml:space="preserve">l’arrêté préfectoral </w:t>
      </w:r>
      <w:r w:rsidR="003A3F31">
        <w:rPr>
          <w:rFonts w:ascii="Arial" w:hAnsi="Arial" w:cs="Arial"/>
          <w:sz w:val="22"/>
          <w:szCs w:val="22"/>
        </w:rPr>
        <w:t>réceptionné le</w:t>
      </w:r>
      <w:r w:rsidRPr="00133779">
        <w:rPr>
          <w:rFonts w:ascii="Arial" w:hAnsi="Arial" w:cs="Arial"/>
          <w:sz w:val="22"/>
          <w:szCs w:val="22"/>
        </w:rPr>
        <w:t xml:space="preserve"> 23 mai 2011</w:t>
      </w:r>
      <w:r w:rsidR="003A3F31">
        <w:rPr>
          <w:rFonts w:ascii="Arial" w:hAnsi="Arial" w:cs="Arial"/>
          <w:sz w:val="22"/>
          <w:szCs w:val="22"/>
        </w:rPr>
        <w:t>, actant l'extension de compétences dans les statuts de Grand Roanne Agglomération ;</w:t>
      </w:r>
    </w:p>
    <w:p w:rsidR="00E123D4" w:rsidRDefault="003A3F31" w:rsidP="00E123D4">
      <w:pPr>
        <w:spacing w:before="200"/>
        <w:ind w:left="1418"/>
        <w:jc w:val="both"/>
        <w:rPr>
          <w:rFonts w:ascii="Arial" w:hAnsi="Arial" w:cs="Arial"/>
          <w:sz w:val="22"/>
          <w:szCs w:val="22"/>
        </w:rPr>
      </w:pPr>
      <w:r>
        <w:rPr>
          <w:rFonts w:ascii="Arial" w:hAnsi="Arial" w:cs="Arial"/>
          <w:sz w:val="22"/>
          <w:szCs w:val="22"/>
        </w:rPr>
        <w:t>Vu la délibération du Conseil communautaire du 19 décembre 2011 modifiant l'intérêt communautaire sur la compétence "création, aménagement, entretien et gestion des zones d'activité économique" ;</w:t>
      </w:r>
    </w:p>
    <w:p w:rsidR="00E123D4" w:rsidRDefault="00E123D4" w:rsidP="00E123D4">
      <w:pPr>
        <w:spacing w:before="200"/>
        <w:ind w:left="1418"/>
        <w:jc w:val="both"/>
        <w:rPr>
          <w:rFonts w:ascii="Arial" w:hAnsi="Arial" w:cs="Arial"/>
          <w:sz w:val="22"/>
          <w:szCs w:val="22"/>
        </w:rPr>
      </w:pPr>
      <w:r>
        <w:rPr>
          <w:rFonts w:ascii="Arial" w:hAnsi="Arial" w:cs="Arial"/>
          <w:sz w:val="22"/>
          <w:szCs w:val="22"/>
        </w:rPr>
        <w:t>Vu l'arrêté préfectoral du 18 décembre 2012 créant, à compter du 1</w:t>
      </w:r>
      <w:r w:rsidRPr="00E123D4">
        <w:rPr>
          <w:rFonts w:ascii="Arial" w:hAnsi="Arial" w:cs="Arial"/>
          <w:sz w:val="22"/>
          <w:szCs w:val="22"/>
          <w:vertAlign w:val="superscript"/>
        </w:rPr>
        <w:t>er</w:t>
      </w:r>
      <w:r>
        <w:rPr>
          <w:rFonts w:ascii="Arial" w:hAnsi="Arial" w:cs="Arial"/>
          <w:sz w:val="22"/>
          <w:szCs w:val="22"/>
        </w:rPr>
        <w:t xml:space="preserve"> janvier 2013, un nouvel établissement public de coopération intercommunale à fiscalité propre issu de la fusion de la communauté d'agglomération "Grand Roanne Agglomération" et des communautés de communes du Pays de La Pacaudière, de la Côte Roannaise, de l'Ouest Roannais et du Pays de Perreux et de l'intégration de la commune de Saint-Alban-les-Eaux ;</w:t>
      </w:r>
    </w:p>
    <w:p w:rsidR="00E123D4" w:rsidRDefault="00E123D4" w:rsidP="00E123D4">
      <w:pPr>
        <w:spacing w:before="200"/>
        <w:ind w:left="1418"/>
        <w:jc w:val="both"/>
        <w:rPr>
          <w:rFonts w:ascii="Arial" w:hAnsi="Arial" w:cs="Arial"/>
          <w:sz w:val="22"/>
          <w:szCs w:val="22"/>
        </w:rPr>
      </w:pPr>
      <w:r>
        <w:rPr>
          <w:rFonts w:ascii="Arial" w:hAnsi="Arial" w:cs="Arial"/>
          <w:sz w:val="22"/>
          <w:szCs w:val="22"/>
        </w:rPr>
        <w:t>Vu l'arrêté préfectoral du 12 novembre 2013 modifiant les statuts de la communauté d'agglomération à compter du 1</w:t>
      </w:r>
      <w:r w:rsidRPr="00E123D4">
        <w:rPr>
          <w:rFonts w:ascii="Arial" w:hAnsi="Arial" w:cs="Arial"/>
          <w:sz w:val="22"/>
          <w:szCs w:val="22"/>
          <w:vertAlign w:val="superscript"/>
        </w:rPr>
        <w:t>er</w:t>
      </w:r>
      <w:r>
        <w:rPr>
          <w:rFonts w:ascii="Arial" w:hAnsi="Arial" w:cs="Arial"/>
          <w:sz w:val="22"/>
          <w:szCs w:val="22"/>
        </w:rPr>
        <w:t xml:space="preserve"> janvier 2014 ;</w:t>
      </w:r>
    </w:p>
    <w:p w:rsidR="00E123D4" w:rsidRDefault="00E123D4" w:rsidP="00E123D4">
      <w:pPr>
        <w:spacing w:before="200"/>
        <w:ind w:left="1418"/>
        <w:jc w:val="both"/>
        <w:rPr>
          <w:rFonts w:ascii="Arial" w:hAnsi="Arial" w:cs="Arial"/>
          <w:sz w:val="22"/>
          <w:szCs w:val="22"/>
        </w:rPr>
      </w:pPr>
      <w:r>
        <w:rPr>
          <w:rFonts w:ascii="Arial" w:hAnsi="Arial" w:cs="Arial"/>
          <w:sz w:val="22"/>
          <w:szCs w:val="22"/>
        </w:rPr>
        <w:t>Vu les délibérations du 16 décembre 2013 par lesquelles le conseil communautaire a défini les intérêts communautaires :</w:t>
      </w:r>
    </w:p>
    <w:p w:rsidR="00E123D4" w:rsidRDefault="00E123D4" w:rsidP="00E123D4">
      <w:pPr>
        <w:ind w:left="1418"/>
        <w:jc w:val="both"/>
        <w:rPr>
          <w:rFonts w:ascii="Arial" w:hAnsi="Arial" w:cs="Arial"/>
          <w:sz w:val="22"/>
          <w:szCs w:val="22"/>
        </w:rPr>
      </w:pPr>
      <w:r>
        <w:rPr>
          <w:rFonts w:ascii="Arial" w:hAnsi="Arial" w:cs="Arial"/>
          <w:sz w:val="22"/>
          <w:szCs w:val="22"/>
        </w:rPr>
        <w:t xml:space="preserve">- des compétences obligatoires en matière économique, d'aménagement de l'espace communautaire et d'équilibre social de l'habitat, de politique de la ville dans la </w:t>
      </w:r>
      <w:r w:rsidR="00B04B62">
        <w:rPr>
          <w:rFonts w:ascii="Arial" w:hAnsi="Arial" w:cs="Arial"/>
          <w:sz w:val="22"/>
          <w:szCs w:val="22"/>
        </w:rPr>
        <w:t>communauté</w:t>
      </w:r>
      <w:r>
        <w:rPr>
          <w:rFonts w:ascii="Arial" w:hAnsi="Arial" w:cs="Arial"/>
          <w:sz w:val="22"/>
          <w:szCs w:val="22"/>
        </w:rPr>
        <w:t xml:space="preserve"> ;</w:t>
      </w:r>
    </w:p>
    <w:p w:rsidR="00E123D4" w:rsidRDefault="00E123D4" w:rsidP="00E123D4">
      <w:pPr>
        <w:ind w:left="1418"/>
        <w:jc w:val="both"/>
        <w:rPr>
          <w:rFonts w:ascii="Arial" w:hAnsi="Arial" w:cs="Arial"/>
          <w:sz w:val="22"/>
          <w:szCs w:val="22"/>
        </w:rPr>
      </w:pPr>
      <w:r>
        <w:rPr>
          <w:rFonts w:ascii="Arial" w:hAnsi="Arial" w:cs="Arial"/>
          <w:sz w:val="22"/>
          <w:szCs w:val="22"/>
        </w:rPr>
        <w:t>- des compétences optionnelles en matière de construction, aménagement, entretien et gestion des équipements culturels et sportifs et en matière d'action sociale ;</w:t>
      </w:r>
    </w:p>
    <w:p w:rsidR="003A3F31" w:rsidRDefault="003A3F31" w:rsidP="00AB3C5E">
      <w:pPr>
        <w:spacing w:before="200"/>
        <w:ind w:left="1418"/>
        <w:jc w:val="both"/>
        <w:rPr>
          <w:rFonts w:ascii="Arial" w:hAnsi="Arial" w:cs="Arial"/>
          <w:sz w:val="22"/>
          <w:szCs w:val="22"/>
        </w:rPr>
      </w:pPr>
      <w:r>
        <w:rPr>
          <w:rFonts w:ascii="Arial" w:hAnsi="Arial" w:cs="Arial"/>
          <w:sz w:val="22"/>
          <w:szCs w:val="22"/>
        </w:rPr>
        <w:t xml:space="preserve">Considérant la tenue de la commission locale d'évaluation des transferts de charges le </w:t>
      </w:r>
      <w:r w:rsidR="00B719C6">
        <w:rPr>
          <w:rFonts w:ascii="Arial" w:hAnsi="Arial" w:cs="Arial"/>
          <w:sz w:val="22"/>
          <w:szCs w:val="22"/>
        </w:rPr>
        <w:t>11 décembre 2014</w:t>
      </w:r>
      <w:r>
        <w:rPr>
          <w:rFonts w:ascii="Arial" w:hAnsi="Arial" w:cs="Arial"/>
          <w:sz w:val="22"/>
          <w:szCs w:val="22"/>
        </w:rPr>
        <w:t xml:space="preserve"> ;</w:t>
      </w:r>
    </w:p>
    <w:p w:rsidR="003A3F31" w:rsidRDefault="003A3F31" w:rsidP="00AB3C5E">
      <w:pPr>
        <w:spacing w:before="200"/>
        <w:ind w:left="1418"/>
        <w:jc w:val="both"/>
        <w:rPr>
          <w:rFonts w:ascii="Arial" w:hAnsi="Arial" w:cs="Arial"/>
          <w:sz w:val="22"/>
          <w:szCs w:val="22"/>
        </w:rPr>
      </w:pPr>
      <w:r>
        <w:rPr>
          <w:rFonts w:ascii="Arial" w:hAnsi="Arial" w:cs="Arial"/>
          <w:sz w:val="22"/>
          <w:szCs w:val="22"/>
        </w:rPr>
        <w:t>Considérant les procès-verbaux de mise à disposition avec les annexes, établis contradictoirement avec les communes ;</w:t>
      </w:r>
    </w:p>
    <w:p w:rsidR="009B64BA" w:rsidRDefault="009B64BA" w:rsidP="00AB3C5E">
      <w:pPr>
        <w:spacing w:before="200"/>
        <w:ind w:left="1418"/>
        <w:jc w:val="both"/>
        <w:rPr>
          <w:rFonts w:ascii="Arial" w:hAnsi="Arial" w:cs="Arial"/>
          <w:sz w:val="22"/>
          <w:szCs w:val="22"/>
        </w:rPr>
      </w:pPr>
      <w:r>
        <w:rPr>
          <w:rFonts w:ascii="Arial" w:hAnsi="Arial" w:cs="Arial"/>
          <w:sz w:val="22"/>
          <w:szCs w:val="22"/>
        </w:rPr>
        <w:t>Après en avoir délibéré, le conseil municipal, à l'unanimité,</w:t>
      </w:r>
      <w:r w:rsidRPr="009B64BA">
        <w:rPr>
          <w:rFonts w:ascii="Arial" w:hAnsi="Arial" w:cs="Arial"/>
          <w:iCs/>
          <w:sz w:val="22"/>
          <w:szCs w:val="22"/>
        </w:rPr>
        <w:t xml:space="preserve"> </w:t>
      </w:r>
      <w:r>
        <w:rPr>
          <w:rFonts w:ascii="Arial" w:hAnsi="Arial" w:cs="Arial"/>
          <w:iCs/>
          <w:sz w:val="22"/>
          <w:szCs w:val="22"/>
        </w:rPr>
        <w:t>se prononce favorablement sur le rapport définitif 2014 de la commission locale d'évaluation des charges transférées (CLECT).</w:t>
      </w:r>
    </w:p>
    <w:p w:rsidR="00061C0A" w:rsidRDefault="00061C0A" w:rsidP="0071301F">
      <w:pPr>
        <w:ind w:left="1418" w:hanging="1"/>
        <w:jc w:val="both"/>
        <w:rPr>
          <w:rFonts w:ascii="Arial" w:hAnsi="Arial" w:cs="Arial"/>
          <w:iCs/>
          <w:sz w:val="22"/>
          <w:szCs w:val="22"/>
        </w:rPr>
      </w:pPr>
    </w:p>
    <w:p w:rsidR="00061C0A" w:rsidRDefault="00061C0A" w:rsidP="0071301F">
      <w:pPr>
        <w:ind w:left="1418" w:hanging="1"/>
        <w:jc w:val="both"/>
        <w:rPr>
          <w:rFonts w:ascii="Arial" w:hAnsi="Arial" w:cs="Arial"/>
          <w:iCs/>
          <w:sz w:val="22"/>
          <w:szCs w:val="22"/>
        </w:rPr>
      </w:pPr>
    </w:p>
    <w:p w:rsidR="00061C0A" w:rsidRDefault="00061C0A" w:rsidP="0071301F">
      <w:pPr>
        <w:ind w:left="1418" w:hanging="1"/>
        <w:jc w:val="both"/>
        <w:rPr>
          <w:rFonts w:ascii="Arial" w:hAnsi="Arial" w:cs="Arial"/>
          <w:iCs/>
          <w:sz w:val="22"/>
          <w:szCs w:val="22"/>
        </w:rPr>
      </w:pPr>
    </w:p>
    <w:sectPr w:rsidR="00061C0A" w:rsidSect="00AB3C5E">
      <w:headerReference w:type="even" r:id="rId8"/>
      <w:headerReference w:type="default" r:id="rId9"/>
      <w:footerReference w:type="even" r:id="rId10"/>
      <w:footerReference w:type="first" r:id="rId11"/>
      <w:pgSz w:w="11907" w:h="16840" w:code="9"/>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979" w:rsidRDefault="00A80979">
      <w:r>
        <w:separator/>
      </w:r>
    </w:p>
  </w:endnote>
  <w:endnote w:type="continuationSeparator" w:id="0">
    <w:p w:rsidR="00A80979" w:rsidRDefault="00A809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9" w:rsidRDefault="00A80979" w:rsidP="00AB3C5E">
    <w:pPr>
      <w:pStyle w:val="Pieddepage"/>
      <w:tabs>
        <w:tab w:val="clear" w:pos="4536"/>
        <w:tab w:val="clear" w:pos="9072"/>
        <w:tab w:val="left" w:pos="3321"/>
      </w:tabs>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9" w:rsidRDefault="00A80979" w:rsidP="00AB3C5E">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979" w:rsidRDefault="00A80979">
      <w:r>
        <w:separator/>
      </w:r>
    </w:p>
  </w:footnote>
  <w:footnote w:type="continuationSeparator" w:id="0">
    <w:p w:rsidR="00A80979" w:rsidRDefault="00A80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9" w:rsidRDefault="00A80979">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79" w:rsidRDefault="00A80979" w:rsidP="000E47BC">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3CA"/>
    <w:multiLevelType w:val="singleLevel"/>
    <w:tmpl w:val="63F06672"/>
    <w:lvl w:ilvl="0">
      <w:start w:val="1"/>
      <w:numFmt w:val="bullet"/>
      <w:lvlText w:val=""/>
      <w:lvlJc w:val="left"/>
      <w:pPr>
        <w:ind w:left="720" w:hanging="360"/>
      </w:pPr>
      <w:rPr>
        <w:rFonts w:ascii="Wingdings" w:hAnsi="Wingdings" w:hint="default"/>
        <w:sz w:val="22"/>
        <w:szCs w:val="22"/>
      </w:rPr>
    </w:lvl>
  </w:abstractNum>
  <w:abstractNum w:abstractNumId="1">
    <w:nsid w:val="101D6933"/>
    <w:multiLevelType w:val="hybridMultilevel"/>
    <w:tmpl w:val="E9866DD8"/>
    <w:lvl w:ilvl="0" w:tplc="6AA22298">
      <w:numFmt w:val="bullet"/>
      <w:lvlText w:val="-"/>
      <w:lvlJc w:val="left"/>
      <w:pPr>
        <w:ind w:left="1777" w:hanging="360"/>
      </w:pPr>
      <w:rPr>
        <w:rFonts w:ascii="Arial" w:eastAsia="Times New Roman" w:hAnsi="Arial" w:cs="Aria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
    <w:nsid w:val="1312490C"/>
    <w:multiLevelType w:val="hybridMultilevel"/>
    <w:tmpl w:val="3C283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F2176D"/>
    <w:multiLevelType w:val="hybridMultilevel"/>
    <w:tmpl w:val="7776716C"/>
    <w:lvl w:ilvl="0" w:tplc="E9BEB948">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669E127A"/>
    <w:multiLevelType w:val="hybridMultilevel"/>
    <w:tmpl w:val="2DB26C30"/>
    <w:lvl w:ilvl="0" w:tplc="040C000D">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6">
    <w:nsid w:val="6CEC678E"/>
    <w:multiLevelType w:val="singleLevel"/>
    <w:tmpl w:val="B52E3006"/>
    <w:lvl w:ilvl="0">
      <w:start w:val="1"/>
      <w:numFmt w:val="bullet"/>
      <w:lvlText w:val=""/>
      <w:lvlJc w:val="left"/>
      <w:pPr>
        <w:ind w:left="720" w:hanging="360"/>
      </w:pPr>
      <w:rPr>
        <w:rFonts w:ascii="Wingdings" w:hAnsi="Wingdings" w:hint="default"/>
        <w:color w:val="auto"/>
      </w:rPr>
    </w:lvl>
  </w:abstractNum>
  <w:abstractNum w:abstractNumId="7">
    <w:nsid w:val="76754ADB"/>
    <w:multiLevelType w:val="hybridMultilevel"/>
    <w:tmpl w:val="59F46244"/>
    <w:lvl w:ilvl="0" w:tplc="A31CEBF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5"/>
  </w:num>
  <w:num w:numId="7">
    <w:abstractNumId w:val="2"/>
  </w:num>
  <w:num w:numId="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246AA"/>
    <w:rsid w:val="00033718"/>
    <w:rsid w:val="000417AC"/>
    <w:rsid w:val="0004538E"/>
    <w:rsid w:val="00051F67"/>
    <w:rsid w:val="00061C0A"/>
    <w:rsid w:val="000723FA"/>
    <w:rsid w:val="000901F5"/>
    <w:rsid w:val="000A5B25"/>
    <w:rsid w:val="000C3F10"/>
    <w:rsid w:val="000C6C94"/>
    <w:rsid w:val="000D391D"/>
    <w:rsid w:val="000D5A7F"/>
    <w:rsid w:val="000D724D"/>
    <w:rsid w:val="000E47BC"/>
    <w:rsid w:val="000F178A"/>
    <w:rsid w:val="000F793D"/>
    <w:rsid w:val="00117DE1"/>
    <w:rsid w:val="0012029A"/>
    <w:rsid w:val="0012572B"/>
    <w:rsid w:val="00133779"/>
    <w:rsid w:val="001415AF"/>
    <w:rsid w:val="001473E1"/>
    <w:rsid w:val="00150F1B"/>
    <w:rsid w:val="00181BAE"/>
    <w:rsid w:val="001922EB"/>
    <w:rsid w:val="001945CD"/>
    <w:rsid w:val="001C03EA"/>
    <w:rsid w:val="001E15DA"/>
    <w:rsid w:val="0020139E"/>
    <w:rsid w:val="00207A67"/>
    <w:rsid w:val="002131D6"/>
    <w:rsid w:val="00215DB8"/>
    <w:rsid w:val="00232CA8"/>
    <w:rsid w:val="00237DC4"/>
    <w:rsid w:val="00244B86"/>
    <w:rsid w:val="00247C29"/>
    <w:rsid w:val="00251C1C"/>
    <w:rsid w:val="00252AF2"/>
    <w:rsid w:val="00253D70"/>
    <w:rsid w:val="002561E3"/>
    <w:rsid w:val="00272F40"/>
    <w:rsid w:val="00273C39"/>
    <w:rsid w:val="00282388"/>
    <w:rsid w:val="00285866"/>
    <w:rsid w:val="00294319"/>
    <w:rsid w:val="002A37C2"/>
    <w:rsid w:val="002E1898"/>
    <w:rsid w:val="002F3104"/>
    <w:rsid w:val="003001F4"/>
    <w:rsid w:val="0030390C"/>
    <w:rsid w:val="00313223"/>
    <w:rsid w:val="00314AF9"/>
    <w:rsid w:val="00315735"/>
    <w:rsid w:val="003266BA"/>
    <w:rsid w:val="0035707D"/>
    <w:rsid w:val="00361242"/>
    <w:rsid w:val="003649EA"/>
    <w:rsid w:val="003670B8"/>
    <w:rsid w:val="00387B5D"/>
    <w:rsid w:val="00391D67"/>
    <w:rsid w:val="00394EC7"/>
    <w:rsid w:val="00395C3C"/>
    <w:rsid w:val="003A3F31"/>
    <w:rsid w:val="003B1F48"/>
    <w:rsid w:val="003B371D"/>
    <w:rsid w:val="003D7B1E"/>
    <w:rsid w:val="003E6953"/>
    <w:rsid w:val="003F733B"/>
    <w:rsid w:val="0040642D"/>
    <w:rsid w:val="004125A6"/>
    <w:rsid w:val="004211DB"/>
    <w:rsid w:val="0044075D"/>
    <w:rsid w:val="00452E6D"/>
    <w:rsid w:val="00461AE3"/>
    <w:rsid w:val="004675C6"/>
    <w:rsid w:val="004A4853"/>
    <w:rsid w:val="004B036B"/>
    <w:rsid w:val="004B1722"/>
    <w:rsid w:val="004B2DDC"/>
    <w:rsid w:val="004D1C24"/>
    <w:rsid w:val="004D78C7"/>
    <w:rsid w:val="004E2FCA"/>
    <w:rsid w:val="004E69EE"/>
    <w:rsid w:val="004F316E"/>
    <w:rsid w:val="004F69CF"/>
    <w:rsid w:val="005008BB"/>
    <w:rsid w:val="00514E5B"/>
    <w:rsid w:val="0052324D"/>
    <w:rsid w:val="00526F78"/>
    <w:rsid w:val="005526E6"/>
    <w:rsid w:val="005634C7"/>
    <w:rsid w:val="005853CD"/>
    <w:rsid w:val="005A1CF7"/>
    <w:rsid w:val="005C1430"/>
    <w:rsid w:val="005C622E"/>
    <w:rsid w:val="005F73CD"/>
    <w:rsid w:val="006008BF"/>
    <w:rsid w:val="006104C5"/>
    <w:rsid w:val="0061402D"/>
    <w:rsid w:val="006207C4"/>
    <w:rsid w:val="00623599"/>
    <w:rsid w:val="00625EFD"/>
    <w:rsid w:val="00630686"/>
    <w:rsid w:val="00636A54"/>
    <w:rsid w:val="0065229B"/>
    <w:rsid w:val="00653559"/>
    <w:rsid w:val="00682F25"/>
    <w:rsid w:val="00683516"/>
    <w:rsid w:val="00692B0E"/>
    <w:rsid w:val="006A1A90"/>
    <w:rsid w:val="006B3F59"/>
    <w:rsid w:val="006C63A6"/>
    <w:rsid w:val="006C6A09"/>
    <w:rsid w:val="006D7E76"/>
    <w:rsid w:val="006E1A02"/>
    <w:rsid w:val="006F744D"/>
    <w:rsid w:val="007016F3"/>
    <w:rsid w:val="00702EBA"/>
    <w:rsid w:val="00705939"/>
    <w:rsid w:val="0071301F"/>
    <w:rsid w:val="0077250C"/>
    <w:rsid w:val="007828C4"/>
    <w:rsid w:val="00797C3F"/>
    <w:rsid w:val="007B62C7"/>
    <w:rsid w:val="007D1796"/>
    <w:rsid w:val="007D6211"/>
    <w:rsid w:val="007F0796"/>
    <w:rsid w:val="007F6ED9"/>
    <w:rsid w:val="00820421"/>
    <w:rsid w:val="00821041"/>
    <w:rsid w:val="00823D26"/>
    <w:rsid w:val="00824741"/>
    <w:rsid w:val="008335F0"/>
    <w:rsid w:val="0084522E"/>
    <w:rsid w:val="00850621"/>
    <w:rsid w:val="008515E9"/>
    <w:rsid w:val="008660E3"/>
    <w:rsid w:val="008A7D43"/>
    <w:rsid w:val="008B2427"/>
    <w:rsid w:val="008B55C6"/>
    <w:rsid w:val="008F0DE8"/>
    <w:rsid w:val="008F35BC"/>
    <w:rsid w:val="008F42CF"/>
    <w:rsid w:val="00916D7F"/>
    <w:rsid w:val="00926CEF"/>
    <w:rsid w:val="00931B86"/>
    <w:rsid w:val="009532A0"/>
    <w:rsid w:val="00971FE1"/>
    <w:rsid w:val="00973586"/>
    <w:rsid w:val="009842D4"/>
    <w:rsid w:val="009A696E"/>
    <w:rsid w:val="009B1158"/>
    <w:rsid w:val="009B4AB3"/>
    <w:rsid w:val="009B64BA"/>
    <w:rsid w:val="009B67E2"/>
    <w:rsid w:val="009C29B4"/>
    <w:rsid w:val="009C3082"/>
    <w:rsid w:val="009C785A"/>
    <w:rsid w:val="009E5041"/>
    <w:rsid w:val="009E7380"/>
    <w:rsid w:val="009F221E"/>
    <w:rsid w:val="00A155E6"/>
    <w:rsid w:val="00A325AC"/>
    <w:rsid w:val="00A45D37"/>
    <w:rsid w:val="00A80979"/>
    <w:rsid w:val="00A96ED0"/>
    <w:rsid w:val="00AB0519"/>
    <w:rsid w:val="00AB3C5E"/>
    <w:rsid w:val="00AB6763"/>
    <w:rsid w:val="00AB6F11"/>
    <w:rsid w:val="00AC5BA4"/>
    <w:rsid w:val="00AD150C"/>
    <w:rsid w:val="00AD1625"/>
    <w:rsid w:val="00AD49AB"/>
    <w:rsid w:val="00AE69A7"/>
    <w:rsid w:val="00B039A5"/>
    <w:rsid w:val="00B04B62"/>
    <w:rsid w:val="00B05D26"/>
    <w:rsid w:val="00B062B6"/>
    <w:rsid w:val="00B115AE"/>
    <w:rsid w:val="00B1417B"/>
    <w:rsid w:val="00B26392"/>
    <w:rsid w:val="00B26551"/>
    <w:rsid w:val="00B33DF9"/>
    <w:rsid w:val="00B34B93"/>
    <w:rsid w:val="00B357CE"/>
    <w:rsid w:val="00B719C6"/>
    <w:rsid w:val="00B72BDF"/>
    <w:rsid w:val="00B81FD9"/>
    <w:rsid w:val="00B902AA"/>
    <w:rsid w:val="00B905B8"/>
    <w:rsid w:val="00B94D57"/>
    <w:rsid w:val="00B95EF8"/>
    <w:rsid w:val="00BB70EB"/>
    <w:rsid w:val="00BD341C"/>
    <w:rsid w:val="00BD7564"/>
    <w:rsid w:val="00BF2626"/>
    <w:rsid w:val="00C200D7"/>
    <w:rsid w:val="00C224EC"/>
    <w:rsid w:val="00C23B7A"/>
    <w:rsid w:val="00C3031E"/>
    <w:rsid w:val="00C378D4"/>
    <w:rsid w:val="00C5271F"/>
    <w:rsid w:val="00C64E9B"/>
    <w:rsid w:val="00C70870"/>
    <w:rsid w:val="00C94018"/>
    <w:rsid w:val="00CA5856"/>
    <w:rsid w:val="00CC183B"/>
    <w:rsid w:val="00CC6E83"/>
    <w:rsid w:val="00CF17B1"/>
    <w:rsid w:val="00D01C3E"/>
    <w:rsid w:val="00D10251"/>
    <w:rsid w:val="00D41A9D"/>
    <w:rsid w:val="00D454B6"/>
    <w:rsid w:val="00D457BF"/>
    <w:rsid w:val="00D46126"/>
    <w:rsid w:val="00D65F75"/>
    <w:rsid w:val="00D824AE"/>
    <w:rsid w:val="00D94151"/>
    <w:rsid w:val="00D97047"/>
    <w:rsid w:val="00D97308"/>
    <w:rsid w:val="00DA33C0"/>
    <w:rsid w:val="00DB0906"/>
    <w:rsid w:val="00DC158F"/>
    <w:rsid w:val="00DC4E35"/>
    <w:rsid w:val="00DD09E0"/>
    <w:rsid w:val="00DD78B6"/>
    <w:rsid w:val="00DE1FA7"/>
    <w:rsid w:val="00DE535B"/>
    <w:rsid w:val="00DE7410"/>
    <w:rsid w:val="00E00894"/>
    <w:rsid w:val="00E01760"/>
    <w:rsid w:val="00E123D4"/>
    <w:rsid w:val="00E134E9"/>
    <w:rsid w:val="00E17AC2"/>
    <w:rsid w:val="00E3012D"/>
    <w:rsid w:val="00E50C95"/>
    <w:rsid w:val="00E57767"/>
    <w:rsid w:val="00EA5716"/>
    <w:rsid w:val="00EE6B81"/>
    <w:rsid w:val="00EF1281"/>
    <w:rsid w:val="00F025E8"/>
    <w:rsid w:val="00F11080"/>
    <w:rsid w:val="00F265D9"/>
    <w:rsid w:val="00F3321A"/>
    <w:rsid w:val="00F342E4"/>
    <w:rsid w:val="00F43940"/>
    <w:rsid w:val="00F66F8B"/>
    <w:rsid w:val="00F933D9"/>
    <w:rsid w:val="00F93E92"/>
    <w:rsid w:val="00FC3BC7"/>
    <w:rsid w:val="00FC3D9E"/>
    <w:rsid w:val="00FD7F50"/>
    <w:rsid w:val="00FE22D6"/>
    <w:rsid w:val="00FF30F0"/>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50"/>
    <w:rPr>
      <w:rFonts w:ascii="Univers (W1)" w:hAnsi="Univers (W1)"/>
    </w:rPr>
  </w:style>
  <w:style w:type="paragraph" w:styleId="Titre1">
    <w:name w:val="heading 1"/>
    <w:basedOn w:val="Normal"/>
    <w:next w:val="Normal"/>
    <w:qFormat/>
    <w:rsid w:val="00FD7F50"/>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D7F50"/>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D7F50"/>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D7F50"/>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D7F50"/>
    <w:rPr>
      <w:sz w:val="16"/>
      <w:szCs w:val="16"/>
    </w:rPr>
  </w:style>
  <w:style w:type="paragraph" w:styleId="Commentaire">
    <w:name w:val="annotation text"/>
    <w:basedOn w:val="Normal"/>
    <w:semiHidden/>
    <w:rsid w:val="00FD7F50"/>
  </w:style>
  <w:style w:type="paragraph" w:styleId="En-tte">
    <w:name w:val="header"/>
    <w:basedOn w:val="Normal"/>
    <w:rsid w:val="00FD7F50"/>
    <w:pPr>
      <w:tabs>
        <w:tab w:val="center" w:pos="4536"/>
        <w:tab w:val="right" w:pos="9072"/>
      </w:tabs>
    </w:pPr>
  </w:style>
  <w:style w:type="paragraph" w:styleId="Pieddepage">
    <w:name w:val="footer"/>
    <w:aliases w:val=" Car"/>
    <w:basedOn w:val="Normal"/>
    <w:link w:val="PieddepageCar"/>
    <w:rsid w:val="00FD7F50"/>
    <w:pPr>
      <w:tabs>
        <w:tab w:val="center" w:pos="4536"/>
        <w:tab w:val="right" w:pos="9072"/>
      </w:tabs>
    </w:pPr>
  </w:style>
  <w:style w:type="paragraph" w:customStyle="1" w:styleId="Paragraphe">
    <w:name w:val="Paragraphe"/>
    <w:basedOn w:val="Normal"/>
    <w:rsid w:val="00FD7F50"/>
    <w:pPr>
      <w:ind w:firstLine="1276"/>
      <w:jc w:val="both"/>
    </w:pPr>
  </w:style>
  <w:style w:type="paragraph" w:styleId="Retraitcorpsdetexte">
    <w:name w:val="Body Text Indent"/>
    <w:basedOn w:val="Normal"/>
    <w:rsid w:val="00FD7F50"/>
    <w:pPr>
      <w:ind w:left="2269" w:firstLine="1133"/>
      <w:jc w:val="both"/>
    </w:pPr>
    <w:rPr>
      <w:rFonts w:ascii="Univers" w:hAnsi="Univers"/>
      <w:sz w:val="22"/>
      <w:szCs w:val="22"/>
    </w:rPr>
  </w:style>
  <w:style w:type="paragraph" w:styleId="Retraitcorpsdetexte2">
    <w:name w:val="Body Text Indent 2"/>
    <w:basedOn w:val="Normal"/>
    <w:rsid w:val="00FD7F50"/>
    <w:pPr>
      <w:ind w:left="2552"/>
      <w:jc w:val="both"/>
    </w:pPr>
    <w:rPr>
      <w:rFonts w:ascii="Univers" w:hAnsi="Univers"/>
      <w:sz w:val="22"/>
      <w:szCs w:val="22"/>
    </w:rPr>
  </w:style>
  <w:style w:type="paragraph" w:styleId="Retraitcorpsdetexte3">
    <w:name w:val="Body Text Indent 3"/>
    <w:basedOn w:val="Normal"/>
    <w:rsid w:val="00FD7F50"/>
    <w:pPr>
      <w:tabs>
        <w:tab w:val="left" w:pos="1276"/>
        <w:tab w:val="left" w:pos="3261"/>
      </w:tabs>
      <w:ind w:left="2269"/>
      <w:jc w:val="center"/>
    </w:pPr>
    <w:rPr>
      <w:rFonts w:ascii="Univers" w:hAnsi="Univers"/>
      <w:b/>
      <w:bCs/>
      <w:sz w:val="22"/>
      <w:szCs w:val="22"/>
    </w:rPr>
  </w:style>
  <w:style w:type="character" w:customStyle="1" w:styleId="Fort">
    <w:name w:val="Fort"/>
    <w:rsid w:val="00FD7F50"/>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3E6953"/>
    <w:pPr>
      <w:spacing w:after="120"/>
    </w:pPr>
  </w:style>
  <w:style w:type="character" w:customStyle="1" w:styleId="PieddepageCar">
    <w:name w:val="Pied de page Car"/>
    <w:aliases w:val=" Car Car"/>
    <w:basedOn w:val="Policepardfaut"/>
    <w:link w:val="Pieddepage"/>
    <w:rsid w:val="00133779"/>
    <w:rPr>
      <w:rFonts w:ascii="Univers (W1)" w:hAnsi="Univers (W1)"/>
      <w:lang w:val="fr-FR" w:eastAsia="fr-FR" w:bidi="ar-SA"/>
    </w:rPr>
  </w:style>
  <w:style w:type="paragraph" w:customStyle="1" w:styleId="NormalCorpsTxt">
    <w:name w:val="Normal.CorpsTxt"/>
    <w:rsid w:val="00133779"/>
    <w:pPr>
      <w:keepLines/>
      <w:widowControl w:val="0"/>
      <w:spacing w:before="120"/>
      <w:jc w:val="both"/>
    </w:pPr>
    <w:rPr>
      <w:rFonts w:ascii="Times New Roman" w:hAnsi="Times New Roman"/>
      <w:sz w:val="22"/>
    </w:rPr>
  </w:style>
  <w:style w:type="character" w:styleId="Numrodepage">
    <w:name w:val="page number"/>
    <w:basedOn w:val="Policepardfaut"/>
    <w:rsid w:val="00285866"/>
  </w:style>
  <w:style w:type="paragraph" w:styleId="Paragraphedeliste">
    <w:name w:val="List Paragraph"/>
    <w:basedOn w:val="Normal"/>
    <w:uiPriority w:val="34"/>
    <w:qFormat/>
    <w:rsid w:val="00916D7F"/>
    <w:pPr>
      <w:ind w:left="720"/>
      <w:contextualSpacing/>
    </w:pPr>
  </w:style>
</w:styles>
</file>

<file path=word/webSettings.xml><?xml version="1.0" encoding="utf-8"?>
<w:webSettings xmlns:r="http://schemas.openxmlformats.org/officeDocument/2006/relationships" xmlns:w="http://schemas.openxmlformats.org/wordprocessingml/2006/main">
  <w:divs>
    <w:div w:id="736241511">
      <w:bodyDiv w:val="1"/>
      <w:marLeft w:val="0"/>
      <w:marRight w:val="0"/>
      <w:marTop w:val="0"/>
      <w:marBottom w:val="0"/>
      <w:divBdr>
        <w:top w:val="none" w:sz="0" w:space="0" w:color="auto"/>
        <w:left w:val="none" w:sz="0" w:space="0" w:color="auto"/>
        <w:bottom w:val="none" w:sz="0" w:space="0" w:color="auto"/>
        <w:right w:val="none" w:sz="0" w:space="0" w:color="auto"/>
      </w:divBdr>
      <w:divsChild>
        <w:div w:id="176312853">
          <w:marLeft w:val="0"/>
          <w:marRight w:val="0"/>
          <w:marTop w:val="0"/>
          <w:marBottom w:val="0"/>
          <w:divBdr>
            <w:top w:val="none" w:sz="0" w:space="0" w:color="auto"/>
            <w:left w:val="none" w:sz="0" w:space="0" w:color="auto"/>
            <w:bottom w:val="none" w:sz="0" w:space="0" w:color="auto"/>
            <w:right w:val="none" w:sz="0" w:space="0" w:color="auto"/>
          </w:divBdr>
        </w:div>
        <w:div w:id="224489698">
          <w:marLeft w:val="0"/>
          <w:marRight w:val="0"/>
          <w:marTop w:val="0"/>
          <w:marBottom w:val="0"/>
          <w:divBdr>
            <w:top w:val="none" w:sz="0" w:space="0" w:color="auto"/>
            <w:left w:val="none" w:sz="0" w:space="0" w:color="auto"/>
            <w:bottom w:val="none" w:sz="0" w:space="0" w:color="auto"/>
            <w:right w:val="none" w:sz="0" w:space="0" w:color="auto"/>
          </w:divBdr>
        </w:div>
        <w:div w:id="294139372">
          <w:marLeft w:val="0"/>
          <w:marRight w:val="0"/>
          <w:marTop w:val="0"/>
          <w:marBottom w:val="0"/>
          <w:divBdr>
            <w:top w:val="none" w:sz="0" w:space="0" w:color="auto"/>
            <w:left w:val="none" w:sz="0" w:space="0" w:color="auto"/>
            <w:bottom w:val="none" w:sz="0" w:space="0" w:color="auto"/>
            <w:right w:val="none" w:sz="0" w:space="0" w:color="auto"/>
          </w:divBdr>
        </w:div>
        <w:div w:id="371538994">
          <w:marLeft w:val="0"/>
          <w:marRight w:val="0"/>
          <w:marTop w:val="0"/>
          <w:marBottom w:val="0"/>
          <w:divBdr>
            <w:top w:val="none" w:sz="0" w:space="0" w:color="auto"/>
            <w:left w:val="none" w:sz="0" w:space="0" w:color="auto"/>
            <w:bottom w:val="none" w:sz="0" w:space="0" w:color="auto"/>
            <w:right w:val="none" w:sz="0" w:space="0" w:color="auto"/>
          </w:divBdr>
        </w:div>
        <w:div w:id="391008599">
          <w:marLeft w:val="0"/>
          <w:marRight w:val="0"/>
          <w:marTop w:val="0"/>
          <w:marBottom w:val="0"/>
          <w:divBdr>
            <w:top w:val="none" w:sz="0" w:space="0" w:color="auto"/>
            <w:left w:val="none" w:sz="0" w:space="0" w:color="auto"/>
            <w:bottom w:val="none" w:sz="0" w:space="0" w:color="auto"/>
            <w:right w:val="none" w:sz="0" w:space="0" w:color="auto"/>
          </w:divBdr>
        </w:div>
        <w:div w:id="439495828">
          <w:marLeft w:val="0"/>
          <w:marRight w:val="0"/>
          <w:marTop w:val="0"/>
          <w:marBottom w:val="0"/>
          <w:divBdr>
            <w:top w:val="none" w:sz="0" w:space="0" w:color="auto"/>
            <w:left w:val="none" w:sz="0" w:space="0" w:color="auto"/>
            <w:bottom w:val="none" w:sz="0" w:space="0" w:color="auto"/>
            <w:right w:val="none" w:sz="0" w:space="0" w:color="auto"/>
          </w:divBdr>
        </w:div>
        <w:div w:id="510029389">
          <w:marLeft w:val="0"/>
          <w:marRight w:val="0"/>
          <w:marTop w:val="0"/>
          <w:marBottom w:val="0"/>
          <w:divBdr>
            <w:top w:val="none" w:sz="0" w:space="0" w:color="auto"/>
            <w:left w:val="none" w:sz="0" w:space="0" w:color="auto"/>
            <w:bottom w:val="none" w:sz="0" w:space="0" w:color="auto"/>
            <w:right w:val="none" w:sz="0" w:space="0" w:color="auto"/>
          </w:divBdr>
        </w:div>
        <w:div w:id="560871100">
          <w:marLeft w:val="0"/>
          <w:marRight w:val="0"/>
          <w:marTop w:val="0"/>
          <w:marBottom w:val="0"/>
          <w:divBdr>
            <w:top w:val="none" w:sz="0" w:space="0" w:color="auto"/>
            <w:left w:val="none" w:sz="0" w:space="0" w:color="auto"/>
            <w:bottom w:val="none" w:sz="0" w:space="0" w:color="auto"/>
            <w:right w:val="none" w:sz="0" w:space="0" w:color="auto"/>
          </w:divBdr>
        </w:div>
        <w:div w:id="604505609">
          <w:marLeft w:val="0"/>
          <w:marRight w:val="0"/>
          <w:marTop w:val="0"/>
          <w:marBottom w:val="0"/>
          <w:divBdr>
            <w:top w:val="none" w:sz="0" w:space="0" w:color="auto"/>
            <w:left w:val="none" w:sz="0" w:space="0" w:color="auto"/>
            <w:bottom w:val="none" w:sz="0" w:space="0" w:color="auto"/>
            <w:right w:val="none" w:sz="0" w:space="0" w:color="auto"/>
          </w:divBdr>
        </w:div>
        <w:div w:id="731929305">
          <w:marLeft w:val="0"/>
          <w:marRight w:val="0"/>
          <w:marTop w:val="0"/>
          <w:marBottom w:val="0"/>
          <w:divBdr>
            <w:top w:val="none" w:sz="0" w:space="0" w:color="auto"/>
            <w:left w:val="none" w:sz="0" w:space="0" w:color="auto"/>
            <w:bottom w:val="none" w:sz="0" w:space="0" w:color="auto"/>
            <w:right w:val="none" w:sz="0" w:space="0" w:color="auto"/>
          </w:divBdr>
        </w:div>
        <w:div w:id="751008215">
          <w:marLeft w:val="0"/>
          <w:marRight w:val="0"/>
          <w:marTop w:val="0"/>
          <w:marBottom w:val="0"/>
          <w:divBdr>
            <w:top w:val="none" w:sz="0" w:space="0" w:color="auto"/>
            <w:left w:val="none" w:sz="0" w:space="0" w:color="auto"/>
            <w:bottom w:val="none" w:sz="0" w:space="0" w:color="auto"/>
            <w:right w:val="none" w:sz="0" w:space="0" w:color="auto"/>
          </w:divBdr>
        </w:div>
        <w:div w:id="898131628">
          <w:marLeft w:val="0"/>
          <w:marRight w:val="0"/>
          <w:marTop w:val="0"/>
          <w:marBottom w:val="0"/>
          <w:divBdr>
            <w:top w:val="none" w:sz="0" w:space="0" w:color="auto"/>
            <w:left w:val="none" w:sz="0" w:space="0" w:color="auto"/>
            <w:bottom w:val="none" w:sz="0" w:space="0" w:color="auto"/>
            <w:right w:val="none" w:sz="0" w:space="0" w:color="auto"/>
          </w:divBdr>
        </w:div>
        <w:div w:id="1546134568">
          <w:marLeft w:val="0"/>
          <w:marRight w:val="0"/>
          <w:marTop w:val="0"/>
          <w:marBottom w:val="0"/>
          <w:divBdr>
            <w:top w:val="none" w:sz="0" w:space="0" w:color="auto"/>
            <w:left w:val="none" w:sz="0" w:space="0" w:color="auto"/>
            <w:bottom w:val="none" w:sz="0" w:space="0" w:color="auto"/>
            <w:right w:val="none" w:sz="0" w:space="0" w:color="auto"/>
          </w:divBdr>
        </w:div>
        <w:div w:id="1600792635">
          <w:marLeft w:val="0"/>
          <w:marRight w:val="0"/>
          <w:marTop w:val="0"/>
          <w:marBottom w:val="0"/>
          <w:divBdr>
            <w:top w:val="none" w:sz="0" w:space="0" w:color="auto"/>
            <w:left w:val="none" w:sz="0" w:space="0" w:color="auto"/>
            <w:bottom w:val="none" w:sz="0" w:space="0" w:color="auto"/>
            <w:right w:val="none" w:sz="0" w:space="0" w:color="auto"/>
          </w:divBdr>
        </w:div>
        <w:div w:id="1681421671">
          <w:marLeft w:val="0"/>
          <w:marRight w:val="0"/>
          <w:marTop w:val="0"/>
          <w:marBottom w:val="0"/>
          <w:divBdr>
            <w:top w:val="none" w:sz="0" w:space="0" w:color="auto"/>
            <w:left w:val="none" w:sz="0" w:space="0" w:color="auto"/>
            <w:bottom w:val="none" w:sz="0" w:space="0" w:color="auto"/>
            <w:right w:val="none" w:sz="0" w:space="0" w:color="auto"/>
          </w:divBdr>
        </w:div>
        <w:div w:id="1725525518">
          <w:marLeft w:val="0"/>
          <w:marRight w:val="0"/>
          <w:marTop w:val="0"/>
          <w:marBottom w:val="0"/>
          <w:divBdr>
            <w:top w:val="none" w:sz="0" w:space="0" w:color="auto"/>
            <w:left w:val="none" w:sz="0" w:space="0" w:color="auto"/>
            <w:bottom w:val="none" w:sz="0" w:space="0" w:color="auto"/>
            <w:right w:val="none" w:sz="0" w:space="0" w:color="auto"/>
          </w:divBdr>
        </w:div>
        <w:div w:id="209092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A51E-516D-4D32-88BA-4EBC33CA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1054</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21</cp:revision>
  <cp:lastPrinted>2012-10-22T15:15:00Z</cp:lastPrinted>
  <dcterms:created xsi:type="dcterms:W3CDTF">2015-01-13T08:56:00Z</dcterms:created>
  <dcterms:modified xsi:type="dcterms:W3CDTF">2015-02-05T14:45:00Z</dcterms:modified>
</cp:coreProperties>
</file>