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E50776" w:rsidRDefault="0096712F" w:rsidP="00D51B7E">
      <w:pPr>
        <w:pStyle w:val="Titre1"/>
        <w:ind w:left="567"/>
        <w:rPr>
          <w:rFonts w:ascii="Arial" w:hAnsi="Arial" w:cs="Arial"/>
          <w:sz w:val="28"/>
          <w:szCs w:val="28"/>
        </w:rPr>
      </w:pPr>
      <w:r w:rsidRPr="00E50776">
        <w:rPr>
          <w:rFonts w:ascii="Arial" w:hAnsi="Arial" w:cs="Arial"/>
          <w:sz w:val="28"/>
          <w:szCs w:val="28"/>
        </w:rPr>
        <w:t>Ville de Riorges</w:t>
      </w:r>
    </w:p>
    <w:p w:rsidR="0096712F" w:rsidRPr="00D51B7E" w:rsidRDefault="000A4ABA" w:rsidP="00D51B7E">
      <w:pPr>
        <w:pStyle w:val="Titre1"/>
        <w:tabs>
          <w:tab w:val="right" w:pos="9639"/>
        </w:tabs>
        <w:ind w:left="567"/>
        <w:rPr>
          <w:rFonts w:ascii="Arial" w:hAnsi="Arial" w:cs="Arial"/>
        </w:rPr>
      </w:pPr>
      <w:r>
        <w:rPr>
          <w:rFonts w:ascii="Arial" w:hAnsi="Arial" w:cs="Arial"/>
        </w:rPr>
        <w:t>Délibération du c</w:t>
      </w:r>
      <w:r w:rsidR="00E50776">
        <w:rPr>
          <w:rFonts w:ascii="Arial" w:hAnsi="Arial" w:cs="Arial"/>
        </w:rPr>
        <w:t>onseil</w:t>
      </w:r>
      <w:r w:rsidR="0096712F" w:rsidRPr="00D51B7E">
        <w:rPr>
          <w:rFonts w:ascii="Arial" w:hAnsi="Arial" w:cs="Arial"/>
        </w:rPr>
        <w:t xml:space="preserve"> municipal du </w:t>
      </w:r>
      <w:r w:rsidR="00E50776">
        <w:rPr>
          <w:rFonts w:ascii="Arial" w:hAnsi="Arial" w:cs="Arial"/>
        </w:rPr>
        <w:t>24 septembre</w:t>
      </w:r>
      <w:r w:rsidR="005A7634" w:rsidRPr="00D51B7E">
        <w:rPr>
          <w:rFonts w:ascii="Arial" w:hAnsi="Arial" w:cs="Arial"/>
        </w:rPr>
        <w:t xml:space="preserve"> 201</w:t>
      </w:r>
      <w:r w:rsidR="001230E2">
        <w:rPr>
          <w:rFonts w:ascii="Arial" w:hAnsi="Arial" w:cs="Arial"/>
        </w:rPr>
        <w:t>5</w:t>
      </w:r>
      <w:r w:rsidR="0096712F" w:rsidRPr="00D51B7E">
        <w:rPr>
          <w:rFonts w:ascii="Arial" w:hAnsi="Arial" w:cs="Arial"/>
        </w:rPr>
        <w:tab/>
      </w:r>
      <w:r w:rsidR="00B959FE">
        <w:rPr>
          <w:rFonts w:ascii="Arial" w:hAnsi="Arial" w:cs="Arial"/>
        </w:rPr>
        <w:t>2.</w:t>
      </w:r>
      <w:r w:rsidR="00E50776">
        <w:rPr>
          <w:rFonts w:ascii="Arial" w:hAnsi="Arial" w:cs="Arial"/>
        </w:rPr>
        <w:t>1</w:t>
      </w:r>
    </w:p>
    <w:p w:rsidR="0092401E" w:rsidRPr="00D51B7E" w:rsidRDefault="0092401E" w:rsidP="00D51B7E">
      <w:pPr>
        <w:tabs>
          <w:tab w:val="left" w:pos="3261"/>
        </w:tabs>
        <w:ind w:left="2269"/>
        <w:jc w:val="center"/>
        <w:rPr>
          <w:rFonts w:ascii="Arial" w:hAnsi="Arial" w:cs="Arial"/>
          <w:b/>
          <w:sz w:val="22"/>
          <w:szCs w:val="22"/>
        </w:rPr>
      </w:pPr>
    </w:p>
    <w:p w:rsidR="0092401E" w:rsidRDefault="0092401E" w:rsidP="00D51B7E">
      <w:pPr>
        <w:tabs>
          <w:tab w:val="left" w:pos="3261"/>
        </w:tabs>
        <w:ind w:left="2269"/>
        <w:jc w:val="center"/>
        <w:rPr>
          <w:rFonts w:ascii="Arial" w:hAnsi="Arial" w:cs="Arial"/>
          <w:b/>
          <w:sz w:val="22"/>
          <w:szCs w:val="22"/>
        </w:rPr>
      </w:pPr>
    </w:p>
    <w:p w:rsidR="000A4ABA" w:rsidRPr="00D51B7E" w:rsidRDefault="000A4ABA" w:rsidP="00D51B7E">
      <w:pPr>
        <w:tabs>
          <w:tab w:val="left" w:pos="3261"/>
        </w:tabs>
        <w:ind w:left="2269"/>
        <w:jc w:val="center"/>
        <w:rPr>
          <w:rFonts w:ascii="Arial" w:hAnsi="Arial" w:cs="Arial"/>
          <w:b/>
          <w:sz w:val="22"/>
          <w:szCs w:val="22"/>
        </w:rPr>
      </w:pPr>
    </w:p>
    <w:p w:rsidR="0092401E" w:rsidRPr="004B40B6" w:rsidRDefault="0092401E" w:rsidP="00D51B7E">
      <w:pPr>
        <w:pStyle w:val="Titre2"/>
        <w:jc w:val="right"/>
        <w:rPr>
          <w:rFonts w:ascii="Arial" w:hAnsi="Arial" w:cs="Arial"/>
        </w:rPr>
      </w:pPr>
      <w:r w:rsidRPr="004B40B6">
        <w:rPr>
          <w:rFonts w:ascii="Arial" w:hAnsi="Arial" w:cs="Arial"/>
        </w:rPr>
        <w:t>FINANCES</w:t>
      </w:r>
    </w:p>
    <w:p w:rsidR="0092401E" w:rsidRPr="00D51B7E" w:rsidRDefault="0092401E" w:rsidP="00D51B7E">
      <w:pPr>
        <w:tabs>
          <w:tab w:val="left" w:pos="3261"/>
        </w:tabs>
        <w:ind w:left="2269"/>
        <w:jc w:val="right"/>
        <w:rPr>
          <w:rFonts w:ascii="Arial" w:hAnsi="Arial" w:cs="Arial"/>
          <w:b/>
          <w:sz w:val="22"/>
          <w:szCs w:val="22"/>
        </w:rPr>
      </w:pPr>
    </w:p>
    <w:p w:rsidR="0092401E" w:rsidRPr="00D51B7E" w:rsidRDefault="001230E2" w:rsidP="00D51B7E">
      <w:pPr>
        <w:pStyle w:val="Retraitcorpsdetexte"/>
        <w:jc w:val="right"/>
        <w:rPr>
          <w:rFonts w:ascii="Arial" w:hAnsi="Arial" w:cs="Arial"/>
        </w:rPr>
      </w:pPr>
      <w:r>
        <w:rPr>
          <w:rFonts w:ascii="Arial" w:hAnsi="Arial" w:cs="Arial"/>
        </w:rPr>
        <w:t>GROUPE SCOLAIRE DU PONTET</w:t>
      </w:r>
    </w:p>
    <w:p w:rsidR="00D51B7E" w:rsidRPr="00D51B7E" w:rsidRDefault="009339F3" w:rsidP="00D51B7E">
      <w:pPr>
        <w:pStyle w:val="Retraitcorpsdetexte"/>
        <w:jc w:val="right"/>
        <w:rPr>
          <w:rFonts w:ascii="Arial" w:hAnsi="Arial" w:cs="Arial"/>
        </w:rPr>
      </w:pPr>
      <w:r>
        <w:rPr>
          <w:rFonts w:ascii="Arial" w:hAnsi="Arial" w:cs="Arial"/>
        </w:rPr>
        <w:t>TRAVAUX D’AMENAGEMENT</w:t>
      </w:r>
    </w:p>
    <w:p w:rsidR="0092401E" w:rsidRPr="00D51B7E" w:rsidRDefault="00D51B7E" w:rsidP="00D51B7E">
      <w:pPr>
        <w:pStyle w:val="Retraitcorpsdetexte"/>
        <w:jc w:val="right"/>
        <w:rPr>
          <w:rFonts w:ascii="Arial" w:hAnsi="Arial" w:cs="Arial"/>
        </w:rPr>
      </w:pPr>
      <w:r w:rsidRPr="00D51B7E">
        <w:rPr>
          <w:rFonts w:ascii="Arial" w:hAnsi="Arial" w:cs="Arial"/>
        </w:rPr>
        <w:t>AUTORISATION DE PROGRAMME ET TRAVAUX</w:t>
      </w:r>
    </w:p>
    <w:p w:rsidR="0092401E" w:rsidRPr="00D51B7E" w:rsidRDefault="0092401E" w:rsidP="00D51B7E">
      <w:pPr>
        <w:ind w:left="1418" w:hanging="1"/>
        <w:jc w:val="both"/>
        <w:rPr>
          <w:rFonts w:ascii="Arial" w:hAnsi="Arial" w:cs="Arial"/>
          <w:sz w:val="22"/>
          <w:szCs w:val="22"/>
        </w:rPr>
      </w:pPr>
    </w:p>
    <w:p w:rsidR="00D51B7E" w:rsidRDefault="00D51B7E" w:rsidP="00D51B7E">
      <w:pPr>
        <w:ind w:left="1418" w:hanging="1"/>
        <w:jc w:val="both"/>
        <w:rPr>
          <w:rFonts w:ascii="Arial" w:hAnsi="Arial" w:cs="Arial"/>
          <w:sz w:val="22"/>
          <w:szCs w:val="22"/>
        </w:rPr>
      </w:pPr>
    </w:p>
    <w:p w:rsidR="000A4ABA" w:rsidRDefault="000A4ABA" w:rsidP="00D51B7E">
      <w:pPr>
        <w:ind w:left="1418" w:hanging="1"/>
        <w:jc w:val="both"/>
        <w:rPr>
          <w:rFonts w:ascii="Arial" w:hAnsi="Arial" w:cs="Arial"/>
          <w:sz w:val="22"/>
          <w:szCs w:val="22"/>
        </w:rPr>
      </w:pPr>
    </w:p>
    <w:p w:rsidR="000A4ABA" w:rsidRDefault="000A4ABA" w:rsidP="00D51B7E">
      <w:pPr>
        <w:ind w:left="1418" w:hanging="1"/>
        <w:jc w:val="both"/>
        <w:rPr>
          <w:rFonts w:ascii="Arial" w:hAnsi="Arial" w:cs="Arial"/>
          <w:sz w:val="22"/>
          <w:szCs w:val="22"/>
        </w:rPr>
      </w:pPr>
    </w:p>
    <w:p w:rsidR="000A4ABA" w:rsidRDefault="000A4ABA"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51B7E" w:rsidRPr="00E50776" w:rsidRDefault="00D51B7E" w:rsidP="00D51B7E">
      <w:pPr>
        <w:ind w:left="1418" w:hanging="1"/>
        <w:jc w:val="both"/>
        <w:rPr>
          <w:rFonts w:ascii="Arial" w:hAnsi="Arial" w:cs="Arial"/>
          <w:sz w:val="22"/>
          <w:szCs w:val="22"/>
        </w:rPr>
      </w:pPr>
    </w:p>
    <w:p w:rsidR="00D51B7E" w:rsidRDefault="000A4ABA"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r>
        <w:rPr>
          <w:rStyle w:val="Caractrestandard"/>
          <w:rFonts w:ascii="Arial" w:hAnsi="Arial" w:cs="Arial"/>
          <w:b/>
          <w:color w:val="auto"/>
          <w:sz w:val="22"/>
          <w:szCs w:val="22"/>
        </w:rPr>
        <w:t>"</w:t>
      </w:r>
      <w:r w:rsidR="00E50776" w:rsidRPr="00E50776">
        <w:rPr>
          <w:rStyle w:val="Caractrestandard"/>
          <w:rFonts w:ascii="Arial" w:hAnsi="Arial" w:cs="Arial"/>
          <w:color w:val="auto"/>
          <w:sz w:val="22"/>
          <w:szCs w:val="22"/>
        </w:rPr>
        <w:t>L</w:t>
      </w:r>
      <w:r w:rsidR="00D51B7E" w:rsidRPr="00D51B7E">
        <w:rPr>
          <w:rStyle w:val="Caractrestandard"/>
          <w:rFonts w:ascii="Arial" w:hAnsi="Arial" w:cs="Arial"/>
          <w:color w:val="auto"/>
          <w:sz w:val="22"/>
          <w:szCs w:val="22"/>
        </w:rPr>
        <w:t xml:space="preserve">a commune </w:t>
      </w:r>
      <w:r w:rsidR="009339F3">
        <w:rPr>
          <w:rStyle w:val="Caractrestandard"/>
          <w:rFonts w:ascii="Arial" w:hAnsi="Arial" w:cs="Arial"/>
          <w:color w:val="auto"/>
          <w:sz w:val="22"/>
          <w:szCs w:val="22"/>
        </w:rPr>
        <w:t xml:space="preserve">envisage des travaux d’aménagement au </w:t>
      </w:r>
      <w:r w:rsidR="00E50776">
        <w:rPr>
          <w:rStyle w:val="Caractrestandard"/>
          <w:rFonts w:ascii="Arial" w:hAnsi="Arial" w:cs="Arial"/>
          <w:color w:val="auto"/>
          <w:sz w:val="22"/>
          <w:szCs w:val="22"/>
        </w:rPr>
        <w:t>g</w:t>
      </w:r>
      <w:r w:rsidR="009339F3">
        <w:rPr>
          <w:rStyle w:val="Caractrestandard"/>
          <w:rFonts w:ascii="Arial" w:hAnsi="Arial" w:cs="Arial"/>
          <w:color w:val="auto"/>
          <w:sz w:val="22"/>
          <w:szCs w:val="22"/>
        </w:rPr>
        <w:t xml:space="preserve">roupe </w:t>
      </w:r>
      <w:r w:rsidR="00E50776">
        <w:rPr>
          <w:rStyle w:val="Caractrestandard"/>
          <w:rFonts w:ascii="Arial" w:hAnsi="Arial" w:cs="Arial"/>
          <w:color w:val="auto"/>
          <w:sz w:val="22"/>
          <w:szCs w:val="22"/>
        </w:rPr>
        <w:t>scolaire du Pontet.</w:t>
      </w:r>
    </w:p>
    <w:p w:rsidR="001230E2" w:rsidRPr="00D51B7E" w:rsidRDefault="001230E2" w:rsidP="00D51B7E">
      <w:pPr>
        <w:widowControl w:val="0"/>
        <w:tabs>
          <w:tab w:val="left" w:pos="512"/>
        </w:tabs>
        <w:autoSpaceDE w:val="0"/>
        <w:autoSpaceDN w:val="0"/>
        <w:adjustRightInd w:val="0"/>
        <w:ind w:left="1418" w:hanging="1"/>
        <w:jc w:val="both"/>
        <w:rPr>
          <w:rStyle w:val="Caractrestandard"/>
          <w:rFonts w:ascii="Arial" w:hAnsi="Arial" w:cs="Arial"/>
          <w:color w:val="auto"/>
          <w:sz w:val="22"/>
          <w:szCs w:val="22"/>
        </w:rPr>
      </w:pPr>
    </w:p>
    <w:p w:rsidR="00D51B7E" w:rsidRDefault="001230E2"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Pr>
          <w:rStyle w:val="Caractrestandard"/>
          <w:rFonts w:ascii="Arial" w:hAnsi="Arial" w:cs="Arial"/>
          <w:color w:val="auto"/>
          <w:sz w:val="22"/>
          <w:szCs w:val="22"/>
        </w:rPr>
        <w:t>Depuis sa construction en 1956, ce bâtiment communal n’a subi aucune rénovation intérieure majeure ni de reprise de la toiture.</w:t>
      </w:r>
    </w:p>
    <w:p w:rsidR="006533D7" w:rsidRDefault="006533D7"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9228E7" w:rsidRDefault="009339F3"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r>
        <w:rPr>
          <w:rStyle w:val="Caractrestandard"/>
          <w:rFonts w:ascii="Arial" w:hAnsi="Arial" w:cs="Arial"/>
          <w:color w:val="auto"/>
          <w:sz w:val="22"/>
          <w:szCs w:val="22"/>
        </w:rPr>
        <w:t>Après avoir dre</w:t>
      </w:r>
      <w:r w:rsidR="009228E7">
        <w:rPr>
          <w:rStyle w:val="Caractrestandard"/>
          <w:rFonts w:ascii="Arial" w:hAnsi="Arial" w:cs="Arial"/>
          <w:color w:val="auto"/>
          <w:sz w:val="22"/>
          <w:szCs w:val="22"/>
        </w:rPr>
        <w:t>ssé un constat de fonctionnalité du bâti existant, ce bâtiment n’apporte plus les conditions satisfaisantes en terme</w:t>
      </w:r>
      <w:r w:rsidR="00E50776">
        <w:rPr>
          <w:rStyle w:val="Caractrestandard"/>
          <w:rFonts w:ascii="Arial" w:hAnsi="Arial" w:cs="Arial"/>
          <w:color w:val="auto"/>
          <w:sz w:val="22"/>
          <w:szCs w:val="22"/>
        </w:rPr>
        <w:t>s</w:t>
      </w:r>
      <w:r w:rsidR="009228E7">
        <w:rPr>
          <w:rStyle w:val="Caractrestandard"/>
          <w:rFonts w:ascii="Arial" w:hAnsi="Arial" w:cs="Arial"/>
          <w:color w:val="auto"/>
          <w:sz w:val="22"/>
          <w:szCs w:val="22"/>
        </w:rPr>
        <w:t> :</w:t>
      </w:r>
    </w:p>
    <w:p w:rsidR="009228E7" w:rsidRPr="009228E7" w:rsidRDefault="009228E7" w:rsidP="000A4ABA">
      <w:pPr>
        <w:pStyle w:val="Paragraphedeliste"/>
        <w:widowControl w:val="0"/>
        <w:numPr>
          <w:ilvl w:val="0"/>
          <w:numId w:val="12"/>
        </w:numPr>
        <w:tabs>
          <w:tab w:val="left" w:pos="1701"/>
        </w:tabs>
        <w:autoSpaceDE w:val="0"/>
        <w:autoSpaceDN w:val="0"/>
        <w:adjustRightInd w:val="0"/>
        <w:spacing w:before="60"/>
        <w:ind w:left="1702" w:hanging="284"/>
        <w:contextualSpacing w:val="0"/>
        <w:jc w:val="both"/>
        <w:rPr>
          <w:rStyle w:val="Caractrestandard"/>
          <w:rFonts w:ascii="Arial" w:hAnsi="Arial" w:cs="Arial"/>
          <w:color w:val="auto"/>
          <w:sz w:val="22"/>
          <w:szCs w:val="22"/>
        </w:rPr>
      </w:pPr>
      <w:r w:rsidRPr="009228E7">
        <w:rPr>
          <w:rStyle w:val="Caractrestandard"/>
          <w:rFonts w:ascii="Arial" w:hAnsi="Arial" w:cs="Arial"/>
          <w:color w:val="auto"/>
          <w:sz w:val="22"/>
          <w:szCs w:val="22"/>
        </w:rPr>
        <w:t>d’éta</w:t>
      </w:r>
      <w:r w:rsidR="00E50776">
        <w:rPr>
          <w:rStyle w:val="Caractrestandard"/>
          <w:rFonts w:ascii="Arial" w:hAnsi="Arial" w:cs="Arial"/>
          <w:color w:val="auto"/>
          <w:sz w:val="22"/>
          <w:szCs w:val="22"/>
        </w:rPr>
        <w:t>nchéité au niveau de la toiture ;</w:t>
      </w:r>
      <w:r w:rsidRPr="009228E7">
        <w:rPr>
          <w:rStyle w:val="Caractrestandard"/>
          <w:rFonts w:ascii="Arial" w:hAnsi="Arial" w:cs="Arial"/>
          <w:color w:val="auto"/>
          <w:sz w:val="22"/>
          <w:szCs w:val="22"/>
        </w:rPr>
        <w:t xml:space="preserve"> </w:t>
      </w:r>
    </w:p>
    <w:p w:rsidR="009228E7" w:rsidRPr="009228E7" w:rsidRDefault="009228E7" w:rsidP="000A4ABA">
      <w:pPr>
        <w:pStyle w:val="Paragraphedeliste"/>
        <w:widowControl w:val="0"/>
        <w:numPr>
          <w:ilvl w:val="0"/>
          <w:numId w:val="12"/>
        </w:numPr>
        <w:tabs>
          <w:tab w:val="left" w:pos="1701"/>
        </w:tabs>
        <w:autoSpaceDE w:val="0"/>
        <w:autoSpaceDN w:val="0"/>
        <w:adjustRightInd w:val="0"/>
        <w:spacing w:before="60"/>
        <w:ind w:left="1702" w:hanging="284"/>
        <w:contextualSpacing w:val="0"/>
        <w:jc w:val="both"/>
        <w:rPr>
          <w:rStyle w:val="Caractrestandard"/>
          <w:rFonts w:ascii="Arial" w:hAnsi="Arial" w:cs="Arial"/>
          <w:color w:val="auto"/>
          <w:sz w:val="22"/>
          <w:szCs w:val="22"/>
        </w:rPr>
      </w:pPr>
      <w:r w:rsidRPr="009228E7">
        <w:rPr>
          <w:rStyle w:val="Caractrestandard"/>
          <w:rFonts w:ascii="Arial" w:hAnsi="Arial" w:cs="Arial"/>
          <w:color w:val="auto"/>
          <w:sz w:val="22"/>
          <w:szCs w:val="22"/>
        </w:rPr>
        <w:t>de ventilation naturelle sur le</w:t>
      </w:r>
      <w:r>
        <w:rPr>
          <w:rStyle w:val="Caractrestandard"/>
          <w:rFonts w:ascii="Arial" w:hAnsi="Arial" w:cs="Arial"/>
          <w:color w:val="auto"/>
          <w:sz w:val="22"/>
          <w:szCs w:val="22"/>
        </w:rPr>
        <w:t>s</w:t>
      </w:r>
      <w:r w:rsidRPr="009228E7">
        <w:rPr>
          <w:rStyle w:val="Caractrestandard"/>
          <w:rFonts w:ascii="Arial" w:hAnsi="Arial" w:cs="Arial"/>
          <w:color w:val="auto"/>
          <w:sz w:val="22"/>
          <w:szCs w:val="22"/>
        </w:rPr>
        <w:t xml:space="preserve"> menuiseries extérieures</w:t>
      </w:r>
      <w:r w:rsidR="00E50776">
        <w:rPr>
          <w:rStyle w:val="Caractrestandard"/>
          <w:rFonts w:ascii="Arial" w:hAnsi="Arial" w:cs="Arial"/>
          <w:color w:val="auto"/>
          <w:sz w:val="22"/>
          <w:szCs w:val="22"/>
        </w:rPr>
        <w:t xml:space="preserve"> ;</w:t>
      </w:r>
    </w:p>
    <w:p w:rsidR="009228E7" w:rsidRPr="009228E7" w:rsidRDefault="009228E7" w:rsidP="000A4ABA">
      <w:pPr>
        <w:pStyle w:val="Paragraphedeliste"/>
        <w:widowControl w:val="0"/>
        <w:numPr>
          <w:ilvl w:val="0"/>
          <w:numId w:val="12"/>
        </w:numPr>
        <w:tabs>
          <w:tab w:val="left" w:pos="1701"/>
        </w:tabs>
        <w:autoSpaceDE w:val="0"/>
        <w:autoSpaceDN w:val="0"/>
        <w:adjustRightInd w:val="0"/>
        <w:spacing w:before="60"/>
        <w:ind w:left="1702" w:hanging="284"/>
        <w:contextualSpacing w:val="0"/>
        <w:jc w:val="both"/>
        <w:rPr>
          <w:rStyle w:val="Caractrestandard"/>
          <w:rFonts w:ascii="Arial" w:hAnsi="Arial" w:cs="Arial"/>
          <w:color w:val="auto"/>
          <w:sz w:val="22"/>
          <w:szCs w:val="22"/>
        </w:rPr>
      </w:pPr>
      <w:r w:rsidRPr="009228E7">
        <w:rPr>
          <w:rStyle w:val="Caractrestandard"/>
          <w:rFonts w:ascii="Arial" w:hAnsi="Arial" w:cs="Arial"/>
          <w:color w:val="auto"/>
          <w:sz w:val="22"/>
          <w:szCs w:val="22"/>
        </w:rPr>
        <w:t>d’isolation des murs, sols et plafonds</w:t>
      </w:r>
      <w:r w:rsidR="00E50776">
        <w:rPr>
          <w:rStyle w:val="Caractrestandard"/>
          <w:rFonts w:ascii="Arial" w:hAnsi="Arial" w:cs="Arial"/>
          <w:color w:val="auto"/>
          <w:sz w:val="22"/>
          <w:szCs w:val="22"/>
        </w:rPr>
        <w:t xml:space="preserve"> ;</w:t>
      </w:r>
    </w:p>
    <w:p w:rsidR="009228E7" w:rsidRPr="009228E7" w:rsidRDefault="009339F3" w:rsidP="000A4ABA">
      <w:pPr>
        <w:pStyle w:val="Paragraphedeliste"/>
        <w:widowControl w:val="0"/>
        <w:numPr>
          <w:ilvl w:val="0"/>
          <w:numId w:val="12"/>
        </w:numPr>
        <w:tabs>
          <w:tab w:val="left" w:pos="1701"/>
        </w:tabs>
        <w:autoSpaceDE w:val="0"/>
        <w:autoSpaceDN w:val="0"/>
        <w:adjustRightInd w:val="0"/>
        <w:spacing w:before="60"/>
        <w:ind w:left="1702" w:hanging="284"/>
        <w:contextualSpacing w:val="0"/>
        <w:jc w:val="both"/>
        <w:rPr>
          <w:rStyle w:val="Caractrestandard"/>
          <w:rFonts w:ascii="Arial" w:hAnsi="Arial" w:cs="Arial"/>
          <w:color w:val="auto"/>
          <w:sz w:val="22"/>
          <w:szCs w:val="22"/>
        </w:rPr>
      </w:pPr>
      <w:r>
        <w:rPr>
          <w:rStyle w:val="Caractrestandard"/>
          <w:rFonts w:ascii="Arial" w:hAnsi="Arial" w:cs="Arial"/>
          <w:color w:val="auto"/>
          <w:sz w:val="22"/>
          <w:szCs w:val="22"/>
        </w:rPr>
        <w:t>d’aménagemen</w:t>
      </w:r>
      <w:r w:rsidR="009228E7" w:rsidRPr="009228E7">
        <w:rPr>
          <w:rStyle w:val="Caractrestandard"/>
          <w:rFonts w:ascii="Arial" w:hAnsi="Arial" w:cs="Arial"/>
          <w:color w:val="auto"/>
          <w:sz w:val="22"/>
          <w:szCs w:val="22"/>
        </w:rPr>
        <w:t>t extérieur</w:t>
      </w:r>
      <w:r w:rsidR="00E50776">
        <w:rPr>
          <w:rStyle w:val="Caractrestandard"/>
          <w:rFonts w:ascii="Arial" w:hAnsi="Arial" w:cs="Arial"/>
          <w:color w:val="auto"/>
          <w:sz w:val="22"/>
          <w:szCs w:val="22"/>
        </w:rPr>
        <w:t xml:space="preserve"> ;</w:t>
      </w:r>
    </w:p>
    <w:p w:rsidR="009228E7" w:rsidRDefault="009228E7" w:rsidP="000A4ABA">
      <w:pPr>
        <w:pStyle w:val="Paragraphedeliste"/>
        <w:widowControl w:val="0"/>
        <w:numPr>
          <w:ilvl w:val="0"/>
          <w:numId w:val="12"/>
        </w:numPr>
        <w:tabs>
          <w:tab w:val="left" w:pos="1701"/>
        </w:tabs>
        <w:autoSpaceDE w:val="0"/>
        <w:autoSpaceDN w:val="0"/>
        <w:adjustRightInd w:val="0"/>
        <w:spacing w:before="60"/>
        <w:ind w:left="1702" w:hanging="284"/>
        <w:contextualSpacing w:val="0"/>
        <w:jc w:val="both"/>
        <w:rPr>
          <w:rStyle w:val="Caractrestandard"/>
          <w:rFonts w:ascii="Arial" w:hAnsi="Arial" w:cs="Arial"/>
          <w:color w:val="auto"/>
          <w:sz w:val="22"/>
          <w:szCs w:val="22"/>
        </w:rPr>
      </w:pPr>
      <w:r w:rsidRPr="009228E7">
        <w:rPr>
          <w:rStyle w:val="Caractrestandard"/>
          <w:rFonts w:ascii="Arial" w:hAnsi="Arial" w:cs="Arial"/>
          <w:color w:val="auto"/>
          <w:sz w:val="22"/>
          <w:szCs w:val="22"/>
        </w:rPr>
        <w:t>d’accessibilité pour les personnes à mobilité réduite.</w:t>
      </w:r>
    </w:p>
    <w:p w:rsidR="009228E7" w:rsidRDefault="009228E7" w:rsidP="00E50776">
      <w:pPr>
        <w:pStyle w:val="Paragraphedeliste"/>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9228E7" w:rsidRDefault="009228E7" w:rsidP="009228E7">
      <w:pPr>
        <w:widowControl w:val="0"/>
        <w:autoSpaceDE w:val="0"/>
        <w:autoSpaceDN w:val="0"/>
        <w:adjustRightInd w:val="0"/>
        <w:ind w:left="1418"/>
        <w:jc w:val="both"/>
        <w:rPr>
          <w:rStyle w:val="Caractrestandard"/>
          <w:rFonts w:ascii="Arial" w:hAnsi="Arial" w:cs="Arial"/>
          <w:color w:val="auto"/>
          <w:sz w:val="22"/>
          <w:szCs w:val="22"/>
        </w:rPr>
      </w:pPr>
      <w:r>
        <w:rPr>
          <w:rStyle w:val="Caractrestandard"/>
          <w:rFonts w:ascii="Arial" w:hAnsi="Arial" w:cs="Arial"/>
          <w:color w:val="auto"/>
          <w:sz w:val="22"/>
          <w:szCs w:val="22"/>
        </w:rPr>
        <w:t xml:space="preserve">Dans le cadre d’une réflexion environnementale, l’objectif de la commune est </w:t>
      </w:r>
      <w:r w:rsidR="009339F3">
        <w:rPr>
          <w:rStyle w:val="Caractrestandard"/>
          <w:rFonts w:ascii="Arial" w:hAnsi="Arial" w:cs="Arial"/>
          <w:color w:val="auto"/>
          <w:sz w:val="22"/>
          <w:szCs w:val="22"/>
        </w:rPr>
        <w:t xml:space="preserve">donc </w:t>
      </w:r>
      <w:r>
        <w:rPr>
          <w:rStyle w:val="Caractrestandard"/>
          <w:rFonts w:ascii="Arial" w:hAnsi="Arial" w:cs="Arial"/>
          <w:color w:val="auto"/>
          <w:sz w:val="22"/>
          <w:szCs w:val="22"/>
        </w:rPr>
        <w:t>d’améliorer les conditions d’accueil des enfants et du personnel en réalisant d’importants travaux d’aménagement intérieurs et extérieurs.</w:t>
      </w:r>
    </w:p>
    <w:p w:rsidR="009A5F46" w:rsidRPr="009228E7" w:rsidRDefault="009A5F46" w:rsidP="009228E7">
      <w:pPr>
        <w:widowControl w:val="0"/>
        <w:autoSpaceDE w:val="0"/>
        <w:autoSpaceDN w:val="0"/>
        <w:adjustRightInd w:val="0"/>
        <w:ind w:left="1418"/>
        <w:jc w:val="both"/>
        <w:rPr>
          <w:rStyle w:val="Caractrestandard"/>
          <w:rFonts w:ascii="Arial" w:hAnsi="Arial" w:cs="Arial"/>
          <w:color w:val="auto"/>
          <w:sz w:val="22"/>
          <w:szCs w:val="22"/>
        </w:rPr>
      </w:pPr>
    </w:p>
    <w:p w:rsidR="009339F3" w:rsidRDefault="009A5F46" w:rsidP="009A5F46">
      <w:pPr>
        <w:widowControl w:val="0"/>
        <w:tabs>
          <w:tab w:val="left" w:pos="512"/>
        </w:tabs>
        <w:autoSpaceDE w:val="0"/>
        <w:autoSpaceDN w:val="0"/>
        <w:adjustRightInd w:val="0"/>
        <w:ind w:left="1418"/>
        <w:jc w:val="both"/>
        <w:rPr>
          <w:rStyle w:val="Caractrestandard"/>
          <w:rFonts w:ascii="Arial" w:hAnsi="Arial" w:cs="Arial"/>
          <w:color w:val="auto"/>
          <w:sz w:val="22"/>
          <w:szCs w:val="22"/>
        </w:rPr>
      </w:pPr>
      <w:r>
        <w:rPr>
          <w:rStyle w:val="Caractrestandard"/>
          <w:rFonts w:ascii="Arial" w:hAnsi="Arial" w:cs="Arial"/>
          <w:color w:val="auto"/>
          <w:sz w:val="22"/>
          <w:szCs w:val="22"/>
        </w:rPr>
        <w:t>Les travaux concernant la couverture du groupe scolaire ayant été effectué</w:t>
      </w:r>
      <w:r w:rsidR="00E50776">
        <w:rPr>
          <w:rStyle w:val="Caractrestandard"/>
          <w:rFonts w:ascii="Arial" w:hAnsi="Arial" w:cs="Arial"/>
          <w:color w:val="auto"/>
          <w:sz w:val="22"/>
          <w:szCs w:val="22"/>
        </w:rPr>
        <w:t>s</w:t>
      </w:r>
      <w:r>
        <w:rPr>
          <w:rStyle w:val="Caractrestandard"/>
          <w:rFonts w:ascii="Arial" w:hAnsi="Arial" w:cs="Arial"/>
          <w:color w:val="auto"/>
          <w:sz w:val="22"/>
          <w:szCs w:val="22"/>
        </w:rPr>
        <w:t xml:space="preserve"> en 2013, il convient de poursuivre la réhabilitation </w:t>
      </w:r>
      <w:r w:rsidR="00E50776">
        <w:rPr>
          <w:rStyle w:val="Caractrestandard"/>
          <w:rFonts w:ascii="Arial" w:hAnsi="Arial" w:cs="Arial"/>
          <w:color w:val="auto"/>
          <w:sz w:val="22"/>
          <w:szCs w:val="22"/>
        </w:rPr>
        <w:t>de cet établissement</w:t>
      </w:r>
      <w:r>
        <w:rPr>
          <w:rStyle w:val="Caractrestandard"/>
          <w:rFonts w:ascii="Arial" w:hAnsi="Arial" w:cs="Arial"/>
          <w:color w:val="auto"/>
          <w:sz w:val="22"/>
          <w:szCs w:val="22"/>
        </w:rPr>
        <w:t xml:space="preserve">. </w:t>
      </w:r>
    </w:p>
    <w:p w:rsidR="009339F3" w:rsidRDefault="009339F3" w:rsidP="009A5F46">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2D28F8" w:rsidRPr="002D28F8" w:rsidRDefault="002D28F8" w:rsidP="009A5F46">
      <w:pPr>
        <w:widowControl w:val="0"/>
        <w:tabs>
          <w:tab w:val="left" w:pos="512"/>
        </w:tabs>
        <w:autoSpaceDE w:val="0"/>
        <w:autoSpaceDN w:val="0"/>
        <w:adjustRightInd w:val="0"/>
        <w:ind w:left="1418"/>
        <w:jc w:val="both"/>
        <w:rPr>
          <w:rStyle w:val="Caractrestandard"/>
          <w:rFonts w:ascii="Arial" w:hAnsi="Arial" w:cs="Arial"/>
          <w:color w:val="auto"/>
          <w:sz w:val="22"/>
          <w:szCs w:val="22"/>
        </w:rPr>
      </w:pPr>
      <w:r w:rsidRPr="002D28F8">
        <w:rPr>
          <w:rStyle w:val="Caractrestandard"/>
          <w:rFonts w:ascii="Arial" w:hAnsi="Arial" w:cs="Arial"/>
          <w:color w:val="auto"/>
          <w:sz w:val="22"/>
          <w:szCs w:val="22"/>
        </w:rPr>
        <w:t xml:space="preserve">Afin d’assurer le financement </w:t>
      </w:r>
      <w:r w:rsidR="009A5F46">
        <w:rPr>
          <w:rStyle w:val="Caractrestandard"/>
          <w:rFonts w:ascii="Arial" w:hAnsi="Arial" w:cs="Arial"/>
          <w:color w:val="auto"/>
          <w:sz w:val="22"/>
          <w:szCs w:val="22"/>
        </w:rPr>
        <w:t>des travaux</w:t>
      </w:r>
      <w:r w:rsidRPr="002D28F8">
        <w:rPr>
          <w:rStyle w:val="Caractrestandard"/>
          <w:rFonts w:ascii="Arial" w:hAnsi="Arial" w:cs="Arial"/>
          <w:color w:val="auto"/>
          <w:sz w:val="22"/>
          <w:szCs w:val="22"/>
        </w:rPr>
        <w:t xml:space="preserve"> dans un cadre pluriannuel, il est proposé de recourir à une autorisation de programme telle que prévue à l’article L.2311-3 du Code général des collectivités territoriales.</w:t>
      </w:r>
    </w:p>
    <w:p w:rsidR="002D28F8" w:rsidRDefault="002D28F8"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D51B7E" w:rsidRDefault="00D51B7E" w:rsidP="00D51B7E">
      <w:pPr>
        <w:ind w:left="1418" w:hanging="1"/>
        <w:jc w:val="both"/>
        <w:rPr>
          <w:rFonts w:ascii="Arial" w:hAnsi="Arial" w:cs="Arial"/>
          <w:sz w:val="22"/>
          <w:szCs w:val="22"/>
        </w:rPr>
      </w:pPr>
      <w:r w:rsidRPr="00D51B7E">
        <w:rPr>
          <w:rFonts w:ascii="Arial" w:hAnsi="Arial" w:cs="Arial"/>
          <w:sz w:val="22"/>
          <w:szCs w:val="22"/>
        </w:rPr>
        <w:t xml:space="preserve">Une autorisation de programme constitue la limite supérieure des dépenses qui peuvent être engagées pour le financement des investissements. Elle indique la répartition annuelle envisagée des crédits de paiement. Cette répartition est </w:t>
      </w:r>
      <w:r w:rsidR="00BF4D0B" w:rsidRPr="00D51B7E">
        <w:rPr>
          <w:rFonts w:ascii="Arial" w:hAnsi="Arial" w:cs="Arial"/>
          <w:sz w:val="22"/>
          <w:szCs w:val="22"/>
        </w:rPr>
        <w:t>susceptible</w:t>
      </w:r>
      <w:r w:rsidRPr="00D51B7E">
        <w:rPr>
          <w:rFonts w:ascii="Arial" w:hAnsi="Arial" w:cs="Arial"/>
          <w:sz w:val="22"/>
          <w:szCs w:val="22"/>
        </w:rPr>
        <w:t xml:space="preserve"> de révision</w:t>
      </w:r>
      <w:r w:rsidR="00E50776">
        <w:rPr>
          <w:rFonts w:ascii="Arial" w:hAnsi="Arial" w:cs="Arial"/>
          <w:sz w:val="22"/>
          <w:szCs w:val="22"/>
        </w:rPr>
        <w:t>.</w:t>
      </w:r>
    </w:p>
    <w:p w:rsidR="00D51B7E" w:rsidRPr="00D51B7E" w:rsidRDefault="00D51B7E" w:rsidP="00D51B7E">
      <w:pPr>
        <w:ind w:left="1418" w:hanging="1"/>
        <w:jc w:val="both"/>
        <w:rPr>
          <w:rFonts w:ascii="Arial" w:hAnsi="Arial" w:cs="Arial"/>
          <w:sz w:val="22"/>
          <w:szCs w:val="22"/>
        </w:rPr>
      </w:pPr>
    </w:p>
    <w:p w:rsidR="00D51B7E" w:rsidRPr="00D51B7E" w:rsidRDefault="00D51B7E" w:rsidP="00D51B7E">
      <w:pPr>
        <w:ind w:left="1418" w:hanging="1"/>
        <w:jc w:val="both"/>
        <w:rPr>
          <w:rFonts w:ascii="Arial" w:hAnsi="Arial" w:cs="Arial"/>
          <w:sz w:val="22"/>
          <w:szCs w:val="22"/>
        </w:rPr>
      </w:pPr>
      <w:r w:rsidRPr="00D51B7E">
        <w:rPr>
          <w:rFonts w:ascii="Arial" w:hAnsi="Arial" w:cs="Arial"/>
          <w:sz w:val="22"/>
          <w:szCs w:val="22"/>
        </w:rPr>
        <w:t>Les crédits de paiement constituent la limite supérieure des dépenses pouvant être mandatées pendant l’année pour la couverture des engagements contractés dans le cadre de l’autorisation de programme correspondante.</w:t>
      </w:r>
    </w:p>
    <w:p w:rsidR="00D51B7E" w:rsidRPr="002D28F8" w:rsidRDefault="00D51B7E" w:rsidP="00D51B7E">
      <w:pPr>
        <w:widowControl w:val="0"/>
        <w:tabs>
          <w:tab w:val="left" w:pos="512"/>
        </w:tabs>
        <w:autoSpaceDE w:val="0"/>
        <w:autoSpaceDN w:val="0"/>
        <w:adjustRightInd w:val="0"/>
        <w:ind w:left="1418"/>
        <w:jc w:val="both"/>
        <w:rPr>
          <w:rStyle w:val="Caractrestandard"/>
          <w:rFonts w:ascii="Arial" w:hAnsi="Arial" w:cs="Arial"/>
          <w:color w:val="auto"/>
          <w:sz w:val="22"/>
          <w:szCs w:val="22"/>
        </w:rPr>
      </w:pPr>
    </w:p>
    <w:p w:rsidR="00D51B7E" w:rsidRPr="000A4ABA" w:rsidRDefault="00D51B7E" w:rsidP="00D51B7E">
      <w:pPr>
        <w:tabs>
          <w:tab w:val="left" w:pos="1080"/>
          <w:tab w:val="left" w:pos="3960"/>
        </w:tabs>
        <w:ind w:left="1418"/>
        <w:jc w:val="both"/>
        <w:rPr>
          <w:rStyle w:val="Caractrestandard"/>
          <w:rFonts w:ascii="Arial" w:hAnsi="Arial" w:cs="Arial"/>
          <w:b/>
          <w:color w:val="auto"/>
          <w:sz w:val="22"/>
          <w:szCs w:val="22"/>
        </w:rPr>
      </w:pPr>
      <w:r w:rsidRPr="00D51B7E">
        <w:rPr>
          <w:rStyle w:val="Caractrestandard"/>
          <w:rFonts w:ascii="Arial" w:hAnsi="Arial" w:cs="Arial"/>
          <w:color w:val="auto"/>
          <w:sz w:val="22"/>
          <w:szCs w:val="22"/>
        </w:rPr>
        <w:t>Le coût global de l’opération</w:t>
      </w:r>
      <w:r w:rsidR="00E50776">
        <w:rPr>
          <w:rStyle w:val="Caractrestandard"/>
          <w:rFonts w:ascii="Arial" w:hAnsi="Arial" w:cs="Arial"/>
          <w:color w:val="auto"/>
          <w:sz w:val="22"/>
          <w:szCs w:val="22"/>
        </w:rPr>
        <w:t>,</w:t>
      </w:r>
      <w:r w:rsidRPr="00D51B7E">
        <w:rPr>
          <w:rStyle w:val="Caractrestandard"/>
          <w:rFonts w:ascii="Arial" w:hAnsi="Arial" w:cs="Arial"/>
          <w:color w:val="auto"/>
          <w:sz w:val="22"/>
          <w:szCs w:val="22"/>
        </w:rPr>
        <w:t xml:space="preserve"> toutes dépenses confondues</w:t>
      </w:r>
      <w:r w:rsidR="00E50776">
        <w:rPr>
          <w:rStyle w:val="Caractrestandard"/>
          <w:rFonts w:ascii="Arial" w:hAnsi="Arial" w:cs="Arial"/>
          <w:color w:val="auto"/>
          <w:sz w:val="22"/>
          <w:szCs w:val="22"/>
        </w:rPr>
        <w:t>,</w:t>
      </w:r>
      <w:r w:rsidRPr="00D51B7E">
        <w:rPr>
          <w:rStyle w:val="Caractrestandard"/>
          <w:rFonts w:ascii="Arial" w:hAnsi="Arial" w:cs="Arial"/>
          <w:color w:val="auto"/>
          <w:sz w:val="22"/>
          <w:szCs w:val="22"/>
        </w:rPr>
        <w:t xml:space="preserve"> est évalué à </w:t>
      </w:r>
      <w:r w:rsidR="000C5EED">
        <w:rPr>
          <w:rStyle w:val="Caractrestandard"/>
          <w:rFonts w:ascii="Arial" w:hAnsi="Arial" w:cs="Arial"/>
          <w:color w:val="auto"/>
          <w:sz w:val="22"/>
          <w:szCs w:val="22"/>
        </w:rPr>
        <w:t>470</w:t>
      </w:r>
      <w:r w:rsidRPr="00D51B7E">
        <w:rPr>
          <w:rStyle w:val="Caractrestandard"/>
          <w:rFonts w:ascii="Arial" w:hAnsi="Arial" w:cs="Arial"/>
          <w:color w:val="auto"/>
          <w:sz w:val="22"/>
          <w:szCs w:val="22"/>
        </w:rPr>
        <w:t xml:space="preserve"> 000 €.</w:t>
      </w:r>
      <w:r w:rsidR="000A4ABA">
        <w:rPr>
          <w:rStyle w:val="Caractrestandard"/>
          <w:rFonts w:ascii="Arial" w:hAnsi="Arial" w:cs="Arial"/>
          <w:b/>
          <w:color w:val="auto"/>
          <w:sz w:val="22"/>
          <w:szCs w:val="22"/>
        </w:rPr>
        <w:t>"</w:t>
      </w:r>
    </w:p>
    <w:p w:rsidR="00D51B7E" w:rsidRDefault="00D51B7E" w:rsidP="00D51B7E">
      <w:pPr>
        <w:tabs>
          <w:tab w:val="left" w:pos="1080"/>
          <w:tab w:val="left" w:pos="3960"/>
        </w:tabs>
        <w:ind w:left="1418"/>
        <w:jc w:val="both"/>
        <w:rPr>
          <w:rStyle w:val="Caractrestandard"/>
          <w:rFonts w:ascii="Arial" w:hAnsi="Arial" w:cs="Arial"/>
          <w:color w:val="auto"/>
          <w:sz w:val="22"/>
          <w:szCs w:val="22"/>
        </w:rPr>
      </w:pPr>
    </w:p>
    <w:p w:rsidR="00D25421" w:rsidRPr="000A4ABA" w:rsidRDefault="00D25421" w:rsidP="00D25421">
      <w:pPr>
        <w:ind w:left="1418" w:hanging="1"/>
        <w:jc w:val="both"/>
        <w:rPr>
          <w:rFonts w:ascii="Arial" w:hAnsi="Arial" w:cs="Arial"/>
          <w:sz w:val="22"/>
          <w:szCs w:val="22"/>
        </w:rPr>
      </w:pPr>
      <w:r w:rsidRPr="000A4ABA">
        <w:rPr>
          <w:rFonts w:ascii="Arial" w:hAnsi="Arial" w:cs="Arial"/>
          <w:sz w:val="22"/>
          <w:szCs w:val="22"/>
        </w:rPr>
        <w:t>Vu le Code Général des collectivités territoriales et notamment son article L 2311-3 ;</w:t>
      </w:r>
    </w:p>
    <w:p w:rsidR="00D25421" w:rsidRPr="000A4ABA" w:rsidRDefault="00D25421" w:rsidP="00D25421">
      <w:pPr>
        <w:ind w:left="1418" w:hanging="1"/>
        <w:jc w:val="both"/>
        <w:rPr>
          <w:rFonts w:ascii="Arial" w:hAnsi="Arial" w:cs="Arial"/>
          <w:sz w:val="22"/>
          <w:szCs w:val="22"/>
        </w:rPr>
      </w:pPr>
    </w:p>
    <w:p w:rsidR="00D25421" w:rsidRPr="000A4ABA" w:rsidRDefault="00D25421" w:rsidP="00D25421">
      <w:pPr>
        <w:ind w:left="1418" w:hanging="1"/>
        <w:jc w:val="both"/>
        <w:rPr>
          <w:rFonts w:ascii="Arial" w:hAnsi="Arial" w:cs="Arial"/>
          <w:sz w:val="22"/>
          <w:szCs w:val="22"/>
        </w:rPr>
      </w:pPr>
      <w:r w:rsidRPr="000A4ABA">
        <w:rPr>
          <w:rFonts w:ascii="Arial" w:hAnsi="Arial" w:cs="Arial"/>
          <w:sz w:val="22"/>
          <w:szCs w:val="22"/>
        </w:rPr>
        <w:t>Vu le décret n°</w:t>
      </w:r>
      <w:r w:rsidR="00E50776" w:rsidRPr="000A4ABA">
        <w:rPr>
          <w:rFonts w:ascii="Arial" w:hAnsi="Arial" w:cs="Arial"/>
          <w:sz w:val="22"/>
          <w:szCs w:val="22"/>
        </w:rPr>
        <w:t xml:space="preserve"> </w:t>
      </w:r>
      <w:r w:rsidRPr="000A4ABA">
        <w:rPr>
          <w:rFonts w:ascii="Arial" w:hAnsi="Arial" w:cs="Arial"/>
          <w:sz w:val="22"/>
          <w:szCs w:val="22"/>
        </w:rPr>
        <w:t>97-175 du 20 février 1997 ;</w:t>
      </w:r>
    </w:p>
    <w:p w:rsidR="00D25421" w:rsidRDefault="00D25421" w:rsidP="00D51B7E">
      <w:pPr>
        <w:tabs>
          <w:tab w:val="left" w:pos="1080"/>
          <w:tab w:val="left" w:pos="3960"/>
        </w:tabs>
        <w:ind w:left="1418"/>
        <w:jc w:val="both"/>
        <w:rPr>
          <w:rStyle w:val="Caractrestandard"/>
          <w:rFonts w:ascii="Arial" w:hAnsi="Arial" w:cs="Arial"/>
          <w:color w:val="auto"/>
          <w:sz w:val="22"/>
          <w:szCs w:val="22"/>
        </w:rPr>
      </w:pPr>
    </w:p>
    <w:p w:rsidR="000A4ABA" w:rsidRDefault="000A4ABA" w:rsidP="00D51B7E">
      <w:pPr>
        <w:tabs>
          <w:tab w:val="left" w:pos="1080"/>
          <w:tab w:val="left" w:pos="3960"/>
        </w:tabs>
        <w:ind w:left="1418"/>
        <w:jc w:val="both"/>
        <w:rPr>
          <w:rStyle w:val="Caractrestandard"/>
          <w:rFonts w:ascii="Arial" w:hAnsi="Arial" w:cs="Arial"/>
          <w:color w:val="auto"/>
          <w:sz w:val="22"/>
          <w:szCs w:val="22"/>
        </w:rPr>
      </w:pPr>
    </w:p>
    <w:p w:rsidR="000A4ABA" w:rsidRPr="000A4ABA" w:rsidRDefault="000A4ABA" w:rsidP="00D51B7E">
      <w:pPr>
        <w:tabs>
          <w:tab w:val="left" w:pos="1080"/>
          <w:tab w:val="left" w:pos="3960"/>
        </w:tabs>
        <w:ind w:left="1418"/>
        <w:jc w:val="both"/>
        <w:rPr>
          <w:rStyle w:val="Caractrestandard"/>
          <w:rFonts w:ascii="Arial" w:hAnsi="Arial" w:cs="Arial"/>
          <w:color w:val="auto"/>
          <w:sz w:val="22"/>
          <w:szCs w:val="22"/>
        </w:rPr>
      </w:pPr>
    </w:p>
    <w:p w:rsidR="00D27BC6" w:rsidRPr="000A4ABA" w:rsidRDefault="00D27BC6" w:rsidP="00D27BC6">
      <w:pPr>
        <w:tabs>
          <w:tab w:val="left" w:pos="1080"/>
          <w:tab w:val="left" w:pos="3960"/>
        </w:tabs>
        <w:ind w:left="1418"/>
        <w:jc w:val="both"/>
        <w:rPr>
          <w:rStyle w:val="Caractrestandard"/>
          <w:rFonts w:ascii="Arial" w:hAnsi="Arial" w:cs="Arial"/>
          <w:color w:val="auto"/>
          <w:sz w:val="22"/>
          <w:szCs w:val="22"/>
        </w:rPr>
      </w:pPr>
      <w:r w:rsidRPr="000A4ABA">
        <w:rPr>
          <w:rStyle w:val="Caractrestandard"/>
          <w:rFonts w:ascii="Arial" w:hAnsi="Arial" w:cs="Arial"/>
          <w:color w:val="auto"/>
          <w:sz w:val="22"/>
          <w:szCs w:val="22"/>
        </w:rPr>
        <w:t xml:space="preserve">Après en avoir délibéré, le conseil municipal, </w:t>
      </w:r>
      <w:r w:rsidR="000A4ABA">
        <w:rPr>
          <w:rStyle w:val="Caractrestandard"/>
          <w:rFonts w:ascii="Arial" w:hAnsi="Arial" w:cs="Arial"/>
          <w:color w:val="auto"/>
          <w:sz w:val="22"/>
          <w:szCs w:val="22"/>
        </w:rPr>
        <w:t>à l'unanimité :</w:t>
      </w:r>
    </w:p>
    <w:p w:rsidR="00D51B7E" w:rsidRPr="000A4ABA" w:rsidRDefault="00D51B7E" w:rsidP="002D28F8">
      <w:pPr>
        <w:numPr>
          <w:ilvl w:val="0"/>
          <w:numId w:val="8"/>
        </w:numPr>
        <w:tabs>
          <w:tab w:val="clear" w:pos="2138"/>
          <w:tab w:val="num" w:pos="1701"/>
        </w:tabs>
        <w:spacing w:before="120"/>
        <w:ind w:left="1702" w:hanging="284"/>
        <w:jc w:val="both"/>
        <w:rPr>
          <w:rStyle w:val="Caractrestandard"/>
          <w:rFonts w:ascii="Arial" w:hAnsi="Arial" w:cs="Arial"/>
          <w:color w:val="auto"/>
          <w:sz w:val="22"/>
          <w:szCs w:val="22"/>
        </w:rPr>
      </w:pPr>
      <w:r w:rsidRPr="000A4ABA">
        <w:rPr>
          <w:rStyle w:val="Caractrestandard"/>
          <w:rFonts w:ascii="Arial" w:hAnsi="Arial" w:cs="Arial"/>
          <w:color w:val="auto"/>
          <w:sz w:val="22"/>
          <w:szCs w:val="22"/>
        </w:rPr>
        <w:t>approuve le montant de l’autorisation de programme constituant la limite supérieure des dépenses afférentes à cette opération</w:t>
      </w:r>
      <w:r w:rsidR="002D28F8" w:rsidRPr="000A4ABA">
        <w:rPr>
          <w:rStyle w:val="Caractrestandard"/>
          <w:rFonts w:ascii="Arial" w:hAnsi="Arial" w:cs="Arial"/>
          <w:color w:val="auto"/>
          <w:sz w:val="22"/>
          <w:szCs w:val="22"/>
        </w:rPr>
        <w:t>,</w:t>
      </w:r>
      <w:r w:rsidRPr="000A4ABA">
        <w:rPr>
          <w:rStyle w:val="Caractrestandard"/>
          <w:rFonts w:ascii="Arial" w:hAnsi="Arial" w:cs="Arial"/>
          <w:color w:val="auto"/>
          <w:sz w:val="22"/>
          <w:szCs w:val="22"/>
        </w:rPr>
        <w:t xml:space="preserve"> soit : </w:t>
      </w:r>
      <w:r w:rsidR="00E16186" w:rsidRPr="000A4ABA">
        <w:rPr>
          <w:rStyle w:val="Caractrestandard"/>
          <w:rFonts w:ascii="Arial" w:hAnsi="Arial" w:cs="Arial"/>
          <w:color w:val="auto"/>
          <w:sz w:val="22"/>
          <w:szCs w:val="22"/>
        </w:rPr>
        <w:t>470</w:t>
      </w:r>
      <w:r w:rsidR="00E50776" w:rsidRPr="000A4ABA">
        <w:rPr>
          <w:rStyle w:val="Caractrestandard"/>
          <w:rFonts w:ascii="Arial" w:hAnsi="Arial" w:cs="Arial"/>
          <w:color w:val="auto"/>
          <w:sz w:val="22"/>
          <w:szCs w:val="22"/>
        </w:rPr>
        <w:t> 000 TTC ;</w:t>
      </w:r>
    </w:p>
    <w:p w:rsidR="00D51B7E" w:rsidRPr="000A4ABA" w:rsidRDefault="00D51B7E" w:rsidP="002D28F8">
      <w:pPr>
        <w:numPr>
          <w:ilvl w:val="0"/>
          <w:numId w:val="8"/>
        </w:numPr>
        <w:tabs>
          <w:tab w:val="clear" w:pos="2138"/>
          <w:tab w:val="num" w:pos="1701"/>
        </w:tabs>
        <w:spacing w:before="120"/>
        <w:ind w:left="1702" w:hanging="284"/>
        <w:jc w:val="both"/>
        <w:rPr>
          <w:rStyle w:val="Caractrestandard"/>
          <w:rFonts w:ascii="Arial" w:hAnsi="Arial" w:cs="Arial"/>
          <w:color w:val="auto"/>
          <w:sz w:val="22"/>
          <w:szCs w:val="22"/>
        </w:rPr>
      </w:pPr>
      <w:r w:rsidRPr="000A4ABA">
        <w:rPr>
          <w:rStyle w:val="Caractrestandard"/>
          <w:rFonts w:ascii="Arial" w:hAnsi="Arial" w:cs="Arial"/>
          <w:color w:val="auto"/>
          <w:sz w:val="22"/>
          <w:szCs w:val="22"/>
        </w:rPr>
        <w:t>approuve les crédits de paiement inscrits au budget général de la commune de Riorges</w:t>
      </w:r>
      <w:r w:rsidR="00E50776" w:rsidRPr="000A4ABA">
        <w:rPr>
          <w:rStyle w:val="Caractrestandard"/>
          <w:rFonts w:ascii="Arial" w:hAnsi="Arial" w:cs="Arial"/>
          <w:color w:val="auto"/>
          <w:sz w:val="22"/>
          <w:szCs w:val="22"/>
        </w:rPr>
        <w:t>,</w:t>
      </w:r>
      <w:r w:rsidRPr="000A4ABA">
        <w:rPr>
          <w:rStyle w:val="Caractrestandard"/>
          <w:rFonts w:ascii="Arial" w:hAnsi="Arial" w:cs="Arial"/>
          <w:color w:val="auto"/>
          <w:sz w:val="22"/>
          <w:szCs w:val="22"/>
        </w:rPr>
        <w:t xml:space="preserve"> nature 2313, fonction </w:t>
      </w:r>
      <w:r w:rsidR="00E16186" w:rsidRPr="000A4ABA">
        <w:rPr>
          <w:rStyle w:val="Caractrestandard"/>
          <w:rFonts w:ascii="Arial" w:hAnsi="Arial" w:cs="Arial"/>
          <w:color w:val="auto"/>
          <w:sz w:val="22"/>
          <w:szCs w:val="22"/>
        </w:rPr>
        <w:t>213</w:t>
      </w:r>
      <w:r w:rsidRPr="000A4ABA">
        <w:rPr>
          <w:rStyle w:val="Caractrestandard"/>
          <w:rFonts w:ascii="Arial" w:hAnsi="Arial" w:cs="Arial"/>
          <w:color w:val="auto"/>
          <w:sz w:val="22"/>
          <w:szCs w:val="22"/>
        </w:rPr>
        <w:t xml:space="preserve"> et opération </w:t>
      </w:r>
      <w:r w:rsidR="00E16186" w:rsidRPr="000A4ABA">
        <w:rPr>
          <w:rStyle w:val="Caractrestandard"/>
          <w:rFonts w:ascii="Arial" w:hAnsi="Arial" w:cs="Arial"/>
          <w:color w:val="auto"/>
          <w:sz w:val="22"/>
          <w:szCs w:val="22"/>
        </w:rPr>
        <w:t>68</w:t>
      </w:r>
      <w:r w:rsidR="002D28F8" w:rsidRPr="000A4ABA">
        <w:rPr>
          <w:rStyle w:val="Caractrestandard"/>
          <w:rFonts w:ascii="Arial" w:hAnsi="Arial" w:cs="Arial"/>
          <w:color w:val="auto"/>
          <w:sz w:val="22"/>
          <w:szCs w:val="22"/>
        </w:rPr>
        <w:t>,</w:t>
      </w:r>
      <w:r w:rsidRPr="000A4ABA">
        <w:rPr>
          <w:rStyle w:val="Caractrestandard"/>
          <w:rFonts w:ascii="Arial" w:hAnsi="Arial" w:cs="Arial"/>
          <w:color w:val="auto"/>
          <w:sz w:val="22"/>
          <w:szCs w:val="22"/>
        </w:rPr>
        <w:t xml:space="preserve"> selon la décomposition de l’échéancier prévisionnel suivant, </w:t>
      </w:r>
      <w:r w:rsidR="00BF4D0B" w:rsidRPr="000A4ABA">
        <w:rPr>
          <w:rStyle w:val="Caractrestandard"/>
          <w:rFonts w:ascii="Arial" w:hAnsi="Arial" w:cs="Arial"/>
          <w:color w:val="auto"/>
          <w:sz w:val="22"/>
          <w:szCs w:val="22"/>
        </w:rPr>
        <w:t>susceptible</w:t>
      </w:r>
      <w:r w:rsidRPr="000A4ABA">
        <w:rPr>
          <w:rStyle w:val="Caractrestandard"/>
          <w:rFonts w:ascii="Arial" w:hAnsi="Arial" w:cs="Arial"/>
          <w:color w:val="auto"/>
          <w:sz w:val="22"/>
          <w:szCs w:val="22"/>
        </w:rPr>
        <w:t xml:space="preserve"> de variation compte tenu des aléas de chanti</w:t>
      </w:r>
      <w:r w:rsidR="002D28F8" w:rsidRPr="000A4ABA">
        <w:rPr>
          <w:rStyle w:val="Caractrestandard"/>
          <w:rFonts w:ascii="Arial" w:hAnsi="Arial" w:cs="Arial"/>
          <w:color w:val="auto"/>
          <w:sz w:val="22"/>
          <w:szCs w:val="22"/>
        </w:rPr>
        <w:t>er ou autres pouvant intervenir :</w:t>
      </w:r>
    </w:p>
    <w:p w:rsidR="00D51B7E" w:rsidRPr="000A4ABA" w:rsidRDefault="00D51B7E" w:rsidP="000A4ABA">
      <w:pPr>
        <w:numPr>
          <w:ilvl w:val="0"/>
          <w:numId w:val="10"/>
        </w:numPr>
        <w:tabs>
          <w:tab w:val="clear" w:pos="2138"/>
          <w:tab w:val="num" w:pos="1985"/>
        </w:tabs>
        <w:spacing w:before="60"/>
        <w:ind w:left="1985" w:hanging="284"/>
        <w:jc w:val="both"/>
        <w:rPr>
          <w:rStyle w:val="Caractrestandard"/>
          <w:rFonts w:ascii="Arial" w:hAnsi="Arial" w:cs="Arial"/>
          <w:color w:val="auto"/>
          <w:sz w:val="22"/>
          <w:szCs w:val="22"/>
        </w:rPr>
      </w:pPr>
      <w:r w:rsidRPr="000A4ABA">
        <w:rPr>
          <w:rStyle w:val="Caractrestandard"/>
          <w:rFonts w:ascii="Arial" w:hAnsi="Arial" w:cs="Arial"/>
          <w:color w:val="auto"/>
          <w:sz w:val="22"/>
          <w:szCs w:val="22"/>
        </w:rPr>
        <w:t>2015</w:t>
      </w:r>
      <w:r w:rsidR="002D28F8" w:rsidRPr="000A4ABA">
        <w:rPr>
          <w:rStyle w:val="Caractrestandard"/>
          <w:rFonts w:ascii="Arial" w:hAnsi="Arial" w:cs="Arial"/>
          <w:color w:val="auto"/>
          <w:sz w:val="22"/>
          <w:szCs w:val="22"/>
        </w:rPr>
        <w:t xml:space="preserve"> </w:t>
      </w:r>
      <w:r w:rsidRPr="000A4ABA">
        <w:rPr>
          <w:rStyle w:val="Caractrestandard"/>
          <w:rFonts w:ascii="Arial" w:hAnsi="Arial" w:cs="Arial"/>
          <w:color w:val="auto"/>
          <w:sz w:val="22"/>
          <w:szCs w:val="22"/>
        </w:rPr>
        <w:t xml:space="preserve">: </w:t>
      </w:r>
      <w:r w:rsidR="00E16186" w:rsidRPr="000A4ABA">
        <w:rPr>
          <w:rStyle w:val="Caractrestandard"/>
          <w:rFonts w:ascii="Arial" w:hAnsi="Arial" w:cs="Arial"/>
          <w:color w:val="auto"/>
          <w:sz w:val="22"/>
          <w:szCs w:val="22"/>
        </w:rPr>
        <w:t>220</w:t>
      </w:r>
      <w:r w:rsidR="00E22D4B" w:rsidRPr="000A4ABA">
        <w:rPr>
          <w:rStyle w:val="Caractrestandard"/>
          <w:rFonts w:ascii="Arial" w:hAnsi="Arial" w:cs="Arial"/>
          <w:color w:val="auto"/>
          <w:sz w:val="22"/>
          <w:szCs w:val="22"/>
        </w:rPr>
        <w:t xml:space="preserve"> </w:t>
      </w:r>
      <w:r w:rsidR="002450AE" w:rsidRPr="000A4ABA">
        <w:rPr>
          <w:rStyle w:val="Caractrestandard"/>
          <w:rFonts w:ascii="Arial" w:hAnsi="Arial" w:cs="Arial"/>
          <w:color w:val="auto"/>
          <w:sz w:val="22"/>
          <w:szCs w:val="22"/>
        </w:rPr>
        <w:t>0</w:t>
      </w:r>
      <w:r w:rsidRPr="000A4ABA">
        <w:rPr>
          <w:rStyle w:val="Caractrestandard"/>
          <w:rFonts w:ascii="Arial" w:hAnsi="Arial" w:cs="Arial"/>
          <w:color w:val="auto"/>
          <w:sz w:val="22"/>
          <w:szCs w:val="22"/>
        </w:rPr>
        <w:t>00</w:t>
      </w:r>
      <w:r w:rsidR="002D28F8" w:rsidRPr="000A4ABA">
        <w:rPr>
          <w:rStyle w:val="Caractrestandard"/>
          <w:rFonts w:ascii="Arial" w:hAnsi="Arial" w:cs="Arial"/>
          <w:color w:val="auto"/>
          <w:sz w:val="22"/>
          <w:szCs w:val="22"/>
        </w:rPr>
        <w:t xml:space="preserve"> </w:t>
      </w:r>
      <w:r w:rsidRPr="000A4ABA">
        <w:rPr>
          <w:rStyle w:val="Caractrestandard"/>
          <w:rFonts w:ascii="Arial" w:hAnsi="Arial" w:cs="Arial"/>
          <w:color w:val="auto"/>
          <w:sz w:val="22"/>
          <w:szCs w:val="22"/>
        </w:rPr>
        <w:t>€</w:t>
      </w:r>
    </w:p>
    <w:p w:rsidR="00D51B7E" w:rsidRPr="000A4ABA" w:rsidRDefault="00D51B7E" w:rsidP="000A4ABA">
      <w:pPr>
        <w:numPr>
          <w:ilvl w:val="0"/>
          <w:numId w:val="10"/>
        </w:numPr>
        <w:tabs>
          <w:tab w:val="clear" w:pos="2138"/>
          <w:tab w:val="num" w:pos="1985"/>
        </w:tabs>
        <w:spacing w:before="60"/>
        <w:ind w:left="1985" w:hanging="284"/>
        <w:jc w:val="both"/>
        <w:rPr>
          <w:rStyle w:val="Caractrestandard"/>
          <w:rFonts w:ascii="Arial" w:hAnsi="Arial" w:cs="Arial"/>
          <w:color w:val="auto"/>
          <w:sz w:val="22"/>
          <w:szCs w:val="22"/>
        </w:rPr>
      </w:pPr>
      <w:r w:rsidRPr="000A4ABA">
        <w:rPr>
          <w:rStyle w:val="Caractrestandard"/>
          <w:rFonts w:ascii="Arial" w:hAnsi="Arial" w:cs="Arial"/>
          <w:color w:val="auto"/>
          <w:sz w:val="22"/>
          <w:szCs w:val="22"/>
        </w:rPr>
        <w:t>2016</w:t>
      </w:r>
      <w:r w:rsidR="002D28F8" w:rsidRPr="000A4ABA">
        <w:rPr>
          <w:rStyle w:val="Caractrestandard"/>
          <w:rFonts w:ascii="Arial" w:hAnsi="Arial" w:cs="Arial"/>
          <w:color w:val="auto"/>
          <w:sz w:val="22"/>
          <w:szCs w:val="22"/>
        </w:rPr>
        <w:t xml:space="preserve"> </w:t>
      </w:r>
      <w:r w:rsidRPr="000A4ABA">
        <w:rPr>
          <w:rStyle w:val="Caractrestandard"/>
          <w:rFonts w:ascii="Arial" w:hAnsi="Arial" w:cs="Arial"/>
          <w:color w:val="auto"/>
          <w:sz w:val="22"/>
          <w:szCs w:val="22"/>
        </w:rPr>
        <w:t xml:space="preserve">: </w:t>
      </w:r>
      <w:r w:rsidR="00E16186" w:rsidRPr="000A4ABA">
        <w:rPr>
          <w:rStyle w:val="Caractrestandard"/>
          <w:rFonts w:ascii="Arial" w:hAnsi="Arial" w:cs="Arial"/>
          <w:color w:val="auto"/>
          <w:sz w:val="22"/>
          <w:szCs w:val="22"/>
        </w:rPr>
        <w:t>2</w:t>
      </w:r>
      <w:r w:rsidRPr="000A4ABA">
        <w:rPr>
          <w:rStyle w:val="Caractrestandard"/>
          <w:rFonts w:ascii="Arial" w:hAnsi="Arial" w:cs="Arial"/>
          <w:color w:val="auto"/>
          <w:sz w:val="22"/>
          <w:szCs w:val="22"/>
        </w:rPr>
        <w:t>50</w:t>
      </w:r>
      <w:r w:rsidR="00E22D4B" w:rsidRPr="000A4ABA">
        <w:rPr>
          <w:rStyle w:val="Caractrestandard"/>
          <w:rFonts w:ascii="Arial" w:hAnsi="Arial" w:cs="Arial"/>
          <w:color w:val="auto"/>
          <w:sz w:val="22"/>
          <w:szCs w:val="22"/>
        </w:rPr>
        <w:t xml:space="preserve"> </w:t>
      </w:r>
      <w:r w:rsidRPr="000A4ABA">
        <w:rPr>
          <w:rStyle w:val="Caractrestandard"/>
          <w:rFonts w:ascii="Arial" w:hAnsi="Arial" w:cs="Arial"/>
          <w:color w:val="auto"/>
          <w:sz w:val="22"/>
          <w:szCs w:val="22"/>
        </w:rPr>
        <w:t>000</w:t>
      </w:r>
      <w:r w:rsidR="002D28F8" w:rsidRPr="000A4ABA">
        <w:rPr>
          <w:rStyle w:val="Caractrestandard"/>
          <w:rFonts w:ascii="Arial" w:hAnsi="Arial" w:cs="Arial"/>
          <w:color w:val="auto"/>
          <w:sz w:val="22"/>
          <w:szCs w:val="22"/>
        </w:rPr>
        <w:t xml:space="preserve"> </w:t>
      </w:r>
      <w:r w:rsidRPr="000A4ABA">
        <w:rPr>
          <w:rStyle w:val="Caractrestandard"/>
          <w:rFonts w:ascii="Arial" w:hAnsi="Arial" w:cs="Arial"/>
          <w:color w:val="auto"/>
          <w:sz w:val="22"/>
          <w:szCs w:val="22"/>
        </w:rPr>
        <w:t>€.</w:t>
      </w:r>
    </w:p>
    <w:p w:rsidR="00D51B7E" w:rsidRPr="000A4ABA" w:rsidRDefault="00D51B7E" w:rsidP="002D28F8">
      <w:pPr>
        <w:ind w:left="1418"/>
        <w:jc w:val="both"/>
        <w:rPr>
          <w:rStyle w:val="Caractrestandard"/>
          <w:rFonts w:ascii="Arial" w:hAnsi="Arial" w:cs="Arial"/>
          <w:color w:val="auto"/>
          <w:sz w:val="22"/>
          <w:szCs w:val="22"/>
        </w:rPr>
      </w:pPr>
    </w:p>
    <w:p w:rsidR="00D51B7E" w:rsidRPr="000A4ABA" w:rsidRDefault="00D51B7E" w:rsidP="002D28F8">
      <w:pPr>
        <w:ind w:left="1418"/>
        <w:jc w:val="both"/>
        <w:rPr>
          <w:rStyle w:val="Caractrestandard"/>
          <w:rFonts w:ascii="Arial" w:hAnsi="Arial" w:cs="Arial"/>
          <w:color w:val="auto"/>
          <w:sz w:val="22"/>
          <w:szCs w:val="22"/>
        </w:rPr>
      </w:pPr>
    </w:p>
    <w:p w:rsidR="00575B32" w:rsidRPr="000A4ABA" w:rsidRDefault="00575B32" w:rsidP="002D28F8">
      <w:pPr>
        <w:ind w:left="1418"/>
        <w:jc w:val="both"/>
        <w:rPr>
          <w:rStyle w:val="Caractrestandard"/>
          <w:rFonts w:ascii="Arial" w:hAnsi="Arial" w:cs="Arial"/>
          <w:color w:val="auto"/>
          <w:sz w:val="22"/>
          <w:szCs w:val="22"/>
        </w:rPr>
      </w:pPr>
    </w:p>
    <w:sectPr w:rsidR="00575B32" w:rsidRPr="000A4ABA" w:rsidSect="000A4ABA">
      <w:headerReference w:type="even" r:id="rId8"/>
      <w:headerReference w:type="default" r:id="rId9"/>
      <w:footerReference w:type="first" r:id="rId10"/>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79" w:rsidRDefault="005C7A79">
      <w:r>
        <w:separator/>
      </w:r>
    </w:p>
  </w:endnote>
  <w:endnote w:type="continuationSeparator" w:id="0">
    <w:p w:rsidR="005C7A79" w:rsidRDefault="005C7A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46" w:rsidRDefault="000A4ABA" w:rsidP="002D28F8">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79" w:rsidRDefault="005C7A79">
      <w:r>
        <w:separator/>
      </w:r>
    </w:p>
  </w:footnote>
  <w:footnote w:type="continuationSeparator" w:id="0">
    <w:p w:rsidR="005C7A79" w:rsidRDefault="005C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46" w:rsidRDefault="009A5F46" w:rsidP="002D28F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46" w:rsidRDefault="009A5F46">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nsid w:val="40611442"/>
    <w:multiLevelType w:val="hybridMultilevel"/>
    <w:tmpl w:val="CA64F2A2"/>
    <w:lvl w:ilvl="0" w:tplc="BBC0670A">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4A6F3660"/>
    <w:multiLevelType w:val="singleLevel"/>
    <w:tmpl w:val="040C000F"/>
    <w:lvl w:ilvl="0">
      <w:start w:val="1"/>
      <w:numFmt w:val="decimal"/>
      <w:lvlText w:val="%1."/>
      <w:lvlJc w:val="left"/>
      <w:pPr>
        <w:tabs>
          <w:tab w:val="num" w:pos="360"/>
        </w:tabs>
        <w:ind w:left="360" w:hanging="360"/>
      </w:pPr>
    </w:lvl>
  </w:abstractNum>
  <w:abstractNum w:abstractNumId="6">
    <w:nsid w:val="4CEC4B00"/>
    <w:multiLevelType w:val="singleLevel"/>
    <w:tmpl w:val="040C000F"/>
    <w:lvl w:ilvl="0">
      <w:start w:val="1"/>
      <w:numFmt w:val="decimal"/>
      <w:lvlText w:val="%1."/>
      <w:lvlJc w:val="left"/>
      <w:pPr>
        <w:tabs>
          <w:tab w:val="num" w:pos="360"/>
        </w:tabs>
        <w:ind w:left="360" w:hanging="360"/>
      </w:pPr>
    </w:lvl>
  </w:abstractNum>
  <w:abstractNum w:abstractNumId="7">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9">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1871667"/>
    <w:multiLevelType w:val="hybridMultilevel"/>
    <w:tmpl w:val="4726CB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2"/>
  </w:num>
  <w:num w:numId="7">
    <w:abstractNumId w:val="1"/>
  </w:num>
  <w:num w:numId="8">
    <w:abstractNumId w:val="0"/>
  </w:num>
  <w:num w:numId="9">
    <w:abstractNumId w:val="3"/>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84B4C"/>
    <w:rsid w:val="000A4ABA"/>
    <w:rsid w:val="000C5EED"/>
    <w:rsid w:val="000E6E13"/>
    <w:rsid w:val="000F6F41"/>
    <w:rsid w:val="00122122"/>
    <w:rsid w:val="001230E2"/>
    <w:rsid w:val="00151958"/>
    <w:rsid w:val="0015413B"/>
    <w:rsid w:val="00182DF7"/>
    <w:rsid w:val="001C3D19"/>
    <w:rsid w:val="00202E35"/>
    <w:rsid w:val="0022589F"/>
    <w:rsid w:val="00236C67"/>
    <w:rsid w:val="002450AE"/>
    <w:rsid w:val="00261305"/>
    <w:rsid w:val="00267BD6"/>
    <w:rsid w:val="002A5ECB"/>
    <w:rsid w:val="002B52B2"/>
    <w:rsid w:val="002B6EB6"/>
    <w:rsid w:val="002C1BA3"/>
    <w:rsid w:val="002D0C04"/>
    <w:rsid w:val="002D28F8"/>
    <w:rsid w:val="002E05C5"/>
    <w:rsid w:val="002E1373"/>
    <w:rsid w:val="002F0132"/>
    <w:rsid w:val="002F4CC1"/>
    <w:rsid w:val="003501D2"/>
    <w:rsid w:val="003847C1"/>
    <w:rsid w:val="003904ED"/>
    <w:rsid w:val="00390ADA"/>
    <w:rsid w:val="003B7D32"/>
    <w:rsid w:val="003C5F56"/>
    <w:rsid w:val="003D03EF"/>
    <w:rsid w:val="003E2876"/>
    <w:rsid w:val="003F48B4"/>
    <w:rsid w:val="004061C1"/>
    <w:rsid w:val="004301BD"/>
    <w:rsid w:val="00430934"/>
    <w:rsid w:val="00493586"/>
    <w:rsid w:val="004940D6"/>
    <w:rsid w:val="004960BB"/>
    <w:rsid w:val="004B40B6"/>
    <w:rsid w:val="004C547B"/>
    <w:rsid w:val="005400B7"/>
    <w:rsid w:val="00542782"/>
    <w:rsid w:val="00575B32"/>
    <w:rsid w:val="005868DE"/>
    <w:rsid w:val="0059499B"/>
    <w:rsid w:val="005950A6"/>
    <w:rsid w:val="005A7634"/>
    <w:rsid w:val="005C7A79"/>
    <w:rsid w:val="00613027"/>
    <w:rsid w:val="0063008F"/>
    <w:rsid w:val="00642190"/>
    <w:rsid w:val="00645589"/>
    <w:rsid w:val="006533D7"/>
    <w:rsid w:val="006C5952"/>
    <w:rsid w:val="006F0B8F"/>
    <w:rsid w:val="006F101E"/>
    <w:rsid w:val="006F2330"/>
    <w:rsid w:val="006F629B"/>
    <w:rsid w:val="00712B82"/>
    <w:rsid w:val="0071722C"/>
    <w:rsid w:val="0072366D"/>
    <w:rsid w:val="00771657"/>
    <w:rsid w:val="007729E9"/>
    <w:rsid w:val="007822BF"/>
    <w:rsid w:val="00792BA6"/>
    <w:rsid w:val="007A466A"/>
    <w:rsid w:val="007B1C52"/>
    <w:rsid w:val="007D5368"/>
    <w:rsid w:val="0083731D"/>
    <w:rsid w:val="00851C58"/>
    <w:rsid w:val="00852F75"/>
    <w:rsid w:val="008655F3"/>
    <w:rsid w:val="00872B2E"/>
    <w:rsid w:val="008C2F4C"/>
    <w:rsid w:val="008E72A9"/>
    <w:rsid w:val="0091315E"/>
    <w:rsid w:val="009228E7"/>
    <w:rsid w:val="0092401E"/>
    <w:rsid w:val="009339F3"/>
    <w:rsid w:val="00943F96"/>
    <w:rsid w:val="00954BDD"/>
    <w:rsid w:val="0096712F"/>
    <w:rsid w:val="009A5F46"/>
    <w:rsid w:val="009C66A8"/>
    <w:rsid w:val="00A11D91"/>
    <w:rsid w:val="00A13FA6"/>
    <w:rsid w:val="00A170E9"/>
    <w:rsid w:val="00A25E69"/>
    <w:rsid w:val="00A30997"/>
    <w:rsid w:val="00A668D2"/>
    <w:rsid w:val="00AC4DB3"/>
    <w:rsid w:val="00AC66A6"/>
    <w:rsid w:val="00AD3FCA"/>
    <w:rsid w:val="00AD6277"/>
    <w:rsid w:val="00B10E9A"/>
    <w:rsid w:val="00B408DD"/>
    <w:rsid w:val="00B50E52"/>
    <w:rsid w:val="00B62B67"/>
    <w:rsid w:val="00B65500"/>
    <w:rsid w:val="00B959FE"/>
    <w:rsid w:val="00BA76D7"/>
    <w:rsid w:val="00BB5122"/>
    <w:rsid w:val="00BC02C2"/>
    <w:rsid w:val="00BE400D"/>
    <w:rsid w:val="00BF4D0B"/>
    <w:rsid w:val="00C42C87"/>
    <w:rsid w:val="00C76C22"/>
    <w:rsid w:val="00C80C59"/>
    <w:rsid w:val="00CA19DA"/>
    <w:rsid w:val="00CA1BCE"/>
    <w:rsid w:val="00CA597D"/>
    <w:rsid w:val="00CD0032"/>
    <w:rsid w:val="00D005DC"/>
    <w:rsid w:val="00D21558"/>
    <w:rsid w:val="00D25421"/>
    <w:rsid w:val="00D26CE1"/>
    <w:rsid w:val="00D27BC6"/>
    <w:rsid w:val="00D3011B"/>
    <w:rsid w:val="00D375F1"/>
    <w:rsid w:val="00D43A03"/>
    <w:rsid w:val="00D51B7E"/>
    <w:rsid w:val="00D60CA8"/>
    <w:rsid w:val="00D80933"/>
    <w:rsid w:val="00D82F0E"/>
    <w:rsid w:val="00D9034C"/>
    <w:rsid w:val="00E01CE2"/>
    <w:rsid w:val="00E16186"/>
    <w:rsid w:val="00E20DF9"/>
    <w:rsid w:val="00E22D4B"/>
    <w:rsid w:val="00E34F69"/>
    <w:rsid w:val="00E50776"/>
    <w:rsid w:val="00EB6635"/>
    <w:rsid w:val="00EC5E14"/>
    <w:rsid w:val="00EF1B66"/>
    <w:rsid w:val="00EF2482"/>
    <w:rsid w:val="00EF501E"/>
    <w:rsid w:val="00F471A9"/>
    <w:rsid w:val="00F60424"/>
    <w:rsid w:val="00F70137"/>
    <w:rsid w:val="00F72631"/>
    <w:rsid w:val="00F81B80"/>
    <w:rsid w:val="00FA6944"/>
    <w:rsid w:val="00FB1BC2"/>
    <w:rsid w:val="00FD2C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paragraph" w:styleId="Titre7">
    <w:name w:val="heading 7"/>
    <w:basedOn w:val="Normal"/>
    <w:next w:val="Normal"/>
    <w:link w:val="Titre7Car"/>
    <w:uiPriority w:val="9"/>
    <w:semiHidden/>
    <w:unhideWhenUsed/>
    <w:qFormat/>
    <w:rsid w:val="00D51B7E"/>
    <w:pPr>
      <w:keepNext/>
      <w:keepLines/>
      <w:spacing w:before="200"/>
      <w:outlineLvl w:val="6"/>
    </w:pPr>
    <w:rPr>
      <w:rFonts w:asciiTheme="majorHAnsi" w:eastAsiaTheme="majorEastAsia" w:hAnsiTheme="majorHAnsi" w:cstheme="majorBidi"/>
      <w:i/>
      <w:iCs/>
      <w:color w:val="0000D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 w:type="character" w:customStyle="1" w:styleId="Titre7Car">
    <w:name w:val="Titre 7 Car"/>
    <w:basedOn w:val="Policepardfaut"/>
    <w:link w:val="Titre7"/>
    <w:uiPriority w:val="9"/>
    <w:semiHidden/>
    <w:rsid w:val="00D51B7E"/>
    <w:rPr>
      <w:rFonts w:asciiTheme="majorHAnsi" w:eastAsiaTheme="majorEastAsia" w:hAnsiTheme="majorHAnsi" w:cstheme="majorBidi"/>
      <w:i/>
      <w:iCs/>
      <w:color w:val="0000DF" w:themeColor="text1" w:themeTint="BF"/>
    </w:rPr>
  </w:style>
  <w:style w:type="character" w:customStyle="1" w:styleId="Caractrestandard">
    <w:name w:val="Caractère standard"/>
    <w:rsid w:val="00D51B7E"/>
    <w:rPr>
      <w:color w:val="000000"/>
    </w:rPr>
  </w:style>
  <w:style w:type="paragraph" w:styleId="Paragraphedeliste">
    <w:name w:val="List Paragraph"/>
    <w:basedOn w:val="Normal"/>
    <w:uiPriority w:val="34"/>
    <w:qFormat/>
    <w:rsid w:val="009228E7"/>
    <w:pPr>
      <w:ind w:left="720"/>
      <w:contextualSpacing/>
    </w:pPr>
  </w:style>
</w:styles>
</file>

<file path=word/webSettings.xml><?xml version="1.0" encoding="utf-8"?>
<w:webSettings xmlns:r="http://schemas.openxmlformats.org/officeDocument/2006/relationships" xmlns:w="http://schemas.openxmlformats.org/wordprocessingml/2006/main">
  <w:divs>
    <w:div w:id="10326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6F52-3F8F-4360-B31D-8852C3B8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2015-09-11T14:02:00Z</cp:lastPrinted>
  <dcterms:created xsi:type="dcterms:W3CDTF">2015-09-11T14:39:00Z</dcterms:created>
  <dcterms:modified xsi:type="dcterms:W3CDTF">2015-09-25T13:55:00Z</dcterms:modified>
</cp:coreProperties>
</file>