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3B" w:rsidRPr="00C5608E" w:rsidRDefault="0025793B" w:rsidP="0025793B">
      <w:pPr>
        <w:pStyle w:val="Titre1"/>
        <w:ind w:left="567"/>
        <w:rPr>
          <w:rFonts w:ascii="Arial" w:hAnsi="Arial" w:cs="Arial"/>
          <w:vanish w:val="0"/>
          <w:sz w:val="28"/>
          <w:szCs w:val="28"/>
        </w:rPr>
      </w:pPr>
      <w:r w:rsidRPr="00C5608E">
        <w:rPr>
          <w:rFonts w:ascii="Arial" w:hAnsi="Arial" w:cs="Arial"/>
          <w:vanish w:val="0"/>
          <w:sz w:val="28"/>
          <w:szCs w:val="28"/>
        </w:rPr>
        <w:t>Ville de Riorges</w:t>
      </w:r>
    </w:p>
    <w:p w:rsidR="0025793B" w:rsidRPr="00E93497" w:rsidRDefault="00B63C9B" w:rsidP="00B37833">
      <w:pPr>
        <w:pStyle w:val="Titre1"/>
        <w:tabs>
          <w:tab w:val="right" w:pos="9639"/>
        </w:tabs>
        <w:ind w:left="567"/>
        <w:rPr>
          <w:rFonts w:ascii="Arial" w:hAnsi="Arial"/>
          <w:vanish w:val="0"/>
        </w:rPr>
      </w:pPr>
      <w:r>
        <w:rPr>
          <w:rFonts w:ascii="Arial" w:hAnsi="Arial"/>
          <w:vanish w:val="0"/>
        </w:rPr>
        <w:t>Délibération du c</w:t>
      </w:r>
      <w:r w:rsidR="0025793B" w:rsidRPr="00E93497">
        <w:rPr>
          <w:rFonts w:ascii="Arial" w:hAnsi="Arial"/>
          <w:vanish w:val="0"/>
        </w:rPr>
        <w:t xml:space="preserve">onseil municipal du </w:t>
      </w:r>
      <w:r w:rsidR="00BA4E4C">
        <w:rPr>
          <w:rFonts w:ascii="Arial" w:hAnsi="Arial"/>
          <w:vanish w:val="0"/>
        </w:rPr>
        <w:t>2</w:t>
      </w:r>
      <w:r w:rsidR="00C5608E">
        <w:rPr>
          <w:rFonts w:ascii="Arial" w:hAnsi="Arial"/>
          <w:vanish w:val="0"/>
        </w:rPr>
        <w:t>4</w:t>
      </w:r>
      <w:r w:rsidR="00BA4E4C">
        <w:rPr>
          <w:rFonts w:ascii="Arial" w:hAnsi="Arial"/>
          <w:vanish w:val="0"/>
        </w:rPr>
        <w:t xml:space="preserve"> septembre 201</w:t>
      </w:r>
      <w:r w:rsidR="00C5608E">
        <w:rPr>
          <w:rFonts w:ascii="Arial" w:hAnsi="Arial"/>
          <w:vanish w:val="0"/>
        </w:rPr>
        <w:t>5</w:t>
      </w:r>
      <w:r w:rsidR="0025793B" w:rsidRPr="00E93497">
        <w:rPr>
          <w:rFonts w:ascii="Arial" w:hAnsi="Arial"/>
          <w:vanish w:val="0"/>
        </w:rPr>
        <w:tab/>
      </w:r>
      <w:r w:rsidR="00963FDE">
        <w:rPr>
          <w:rFonts w:ascii="Arial" w:hAnsi="Arial"/>
          <w:vanish w:val="0"/>
        </w:rPr>
        <w:t>3.4</w:t>
      </w:r>
    </w:p>
    <w:p w:rsidR="006D3223" w:rsidRDefault="006D3223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6D3223" w:rsidRDefault="006D3223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6D3223" w:rsidRDefault="006D3223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161632" w:rsidRPr="001F6566" w:rsidRDefault="00161632" w:rsidP="00161632">
      <w:pPr>
        <w:pStyle w:val="Titre2"/>
        <w:jc w:val="right"/>
        <w:rPr>
          <w:rFonts w:ascii="Arial" w:hAnsi="Arial" w:cs="Arial"/>
        </w:rPr>
      </w:pPr>
      <w:r w:rsidRPr="001F6566">
        <w:rPr>
          <w:rFonts w:ascii="Arial" w:hAnsi="Arial" w:cs="Arial"/>
        </w:rPr>
        <w:t>CADRE DE VIE-</w:t>
      </w:r>
      <w:r w:rsidR="00C51D83" w:rsidRPr="001F6566">
        <w:rPr>
          <w:rFonts w:ascii="Arial" w:hAnsi="Arial" w:cs="Arial"/>
        </w:rPr>
        <w:t>COMMERCE-ARTISANAT</w:t>
      </w:r>
      <w:r w:rsidRPr="001F6566">
        <w:rPr>
          <w:rFonts w:ascii="Arial" w:hAnsi="Arial" w:cs="Arial"/>
        </w:rPr>
        <w:t>-</w:t>
      </w:r>
    </w:p>
    <w:p w:rsidR="006D3223" w:rsidRPr="001F6566" w:rsidRDefault="00161632">
      <w:pPr>
        <w:pStyle w:val="Titre2"/>
        <w:jc w:val="right"/>
        <w:rPr>
          <w:rFonts w:ascii="Arial" w:hAnsi="Arial" w:cs="Arial"/>
        </w:rPr>
      </w:pPr>
      <w:r w:rsidRPr="001F6566">
        <w:rPr>
          <w:rFonts w:ascii="Arial" w:hAnsi="Arial" w:cs="Arial"/>
        </w:rPr>
        <w:t>DEVELOPPEMENT DURABLE</w:t>
      </w:r>
    </w:p>
    <w:p w:rsidR="006D3223" w:rsidRDefault="006D322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6D3223" w:rsidRDefault="006D3223" w:rsidP="00254DDE">
      <w:pPr>
        <w:pStyle w:val="Titre4"/>
        <w:jc w:val="right"/>
        <w:rPr>
          <w:rFonts w:ascii="Arial" w:hAnsi="Arial"/>
        </w:rPr>
      </w:pPr>
      <w:r>
        <w:rPr>
          <w:rFonts w:ascii="Arial" w:hAnsi="Arial"/>
        </w:rPr>
        <w:t xml:space="preserve">QUALITE ET PRIX </w:t>
      </w:r>
      <w:r w:rsidR="00254DDE">
        <w:rPr>
          <w:rFonts w:ascii="Arial" w:hAnsi="Arial"/>
        </w:rPr>
        <w:t>DU</w:t>
      </w:r>
      <w:r>
        <w:rPr>
          <w:rFonts w:ascii="Arial" w:hAnsi="Arial"/>
        </w:rPr>
        <w:t xml:space="preserve"> SERVICE PUBLIC</w:t>
      </w:r>
    </w:p>
    <w:p w:rsidR="006D3223" w:rsidRDefault="001827FB" w:rsidP="0025793B">
      <w:pPr>
        <w:pStyle w:val="Titre4"/>
        <w:jc w:val="right"/>
        <w:rPr>
          <w:rFonts w:ascii="Arial" w:hAnsi="Arial"/>
        </w:rPr>
      </w:pPr>
      <w:r>
        <w:rPr>
          <w:rFonts w:ascii="Arial" w:hAnsi="Arial"/>
        </w:rPr>
        <w:t>DE COLLECTE DES DECHETS MENAGERS ET ASSIMILES</w:t>
      </w:r>
    </w:p>
    <w:p w:rsidR="006D3223" w:rsidRDefault="006D3223" w:rsidP="005373EF">
      <w:pPr>
        <w:pStyle w:val="Titre4"/>
        <w:jc w:val="right"/>
        <w:rPr>
          <w:rFonts w:ascii="Arial" w:hAnsi="Arial"/>
        </w:rPr>
      </w:pPr>
      <w:r>
        <w:rPr>
          <w:rFonts w:ascii="Arial" w:hAnsi="Arial"/>
        </w:rPr>
        <w:t xml:space="preserve">RAPPORT </w:t>
      </w:r>
      <w:r w:rsidR="001827FB">
        <w:rPr>
          <w:rFonts w:ascii="Arial" w:hAnsi="Arial"/>
        </w:rPr>
        <w:t>D'ACTIVITE</w:t>
      </w:r>
      <w:r w:rsidR="00934655">
        <w:rPr>
          <w:rFonts w:ascii="Arial" w:hAnsi="Arial"/>
        </w:rPr>
        <w:t>S</w:t>
      </w:r>
      <w:r w:rsidR="006F42EB">
        <w:rPr>
          <w:rFonts w:ascii="Arial" w:hAnsi="Arial"/>
        </w:rPr>
        <w:t xml:space="preserve"> 201</w:t>
      </w:r>
      <w:r w:rsidR="00C5608E">
        <w:rPr>
          <w:rFonts w:ascii="Arial" w:hAnsi="Arial"/>
        </w:rPr>
        <w:t>4</w:t>
      </w:r>
    </w:p>
    <w:p w:rsidR="006D3223" w:rsidRDefault="006D3223">
      <w:pPr>
        <w:ind w:left="1418"/>
        <w:jc w:val="both"/>
        <w:rPr>
          <w:rFonts w:ascii="Arial" w:hAnsi="Arial"/>
          <w:sz w:val="22"/>
        </w:rPr>
      </w:pPr>
    </w:p>
    <w:p w:rsidR="0067004F" w:rsidRDefault="0067004F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3C02A8" w:rsidRDefault="003C02A8">
      <w:pPr>
        <w:ind w:left="1418"/>
        <w:jc w:val="both"/>
        <w:rPr>
          <w:rFonts w:ascii="Arial" w:hAnsi="Arial"/>
          <w:sz w:val="22"/>
        </w:rPr>
      </w:pPr>
    </w:p>
    <w:p w:rsidR="00B63C9B" w:rsidRDefault="00B63C9B" w:rsidP="00942D96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Stéphane JEVAUDAN, adjoint, délégué au développement durable, expose à l'assemblée :</w:t>
      </w:r>
    </w:p>
    <w:p w:rsidR="00C5608E" w:rsidRDefault="00C5608E">
      <w:pPr>
        <w:ind w:left="1418"/>
        <w:jc w:val="both"/>
        <w:rPr>
          <w:rFonts w:ascii="Arial" w:hAnsi="Arial"/>
          <w:sz w:val="22"/>
        </w:rPr>
      </w:pPr>
    </w:p>
    <w:p w:rsidR="006D3223" w:rsidRDefault="0037642A" w:rsidP="00533EF4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6D3223">
        <w:rPr>
          <w:rFonts w:ascii="Arial" w:hAnsi="Arial"/>
          <w:sz w:val="22"/>
        </w:rPr>
        <w:t xml:space="preserve">Le décret n° 2000-404 du 11 mai 2000 prévoit </w:t>
      </w:r>
      <w:r w:rsidR="004D233E">
        <w:rPr>
          <w:rFonts w:ascii="Arial" w:hAnsi="Arial"/>
          <w:sz w:val="22"/>
        </w:rPr>
        <w:t xml:space="preserve">notamment </w:t>
      </w:r>
      <w:r w:rsidR="006D3223">
        <w:rPr>
          <w:rFonts w:ascii="Arial" w:hAnsi="Arial"/>
          <w:sz w:val="22"/>
        </w:rPr>
        <w:t>que le maire présente au co</w:t>
      </w:r>
      <w:r w:rsidR="00533EF4">
        <w:rPr>
          <w:rFonts w:ascii="Arial" w:hAnsi="Arial"/>
          <w:sz w:val="22"/>
        </w:rPr>
        <w:t>nseil municipal,</w:t>
      </w:r>
      <w:r w:rsidR="006D3223">
        <w:rPr>
          <w:rFonts w:ascii="Arial" w:hAnsi="Arial"/>
          <w:sz w:val="22"/>
        </w:rPr>
        <w:t xml:space="preserve"> un rapport annuel sur la qualité et le prix d</w:t>
      </w:r>
      <w:r w:rsidR="00254DDE">
        <w:rPr>
          <w:rFonts w:ascii="Arial" w:hAnsi="Arial"/>
          <w:sz w:val="22"/>
        </w:rPr>
        <w:t>u</w:t>
      </w:r>
      <w:r w:rsidR="006D3223">
        <w:rPr>
          <w:rFonts w:ascii="Arial" w:hAnsi="Arial"/>
          <w:sz w:val="22"/>
        </w:rPr>
        <w:t xml:space="preserve"> service public </w:t>
      </w:r>
      <w:r w:rsidR="005373EF">
        <w:rPr>
          <w:rFonts w:ascii="Arial" w:hAnsi="Arial"/>
          <w:sz w:val="22"/>
        </w:rPr>
        <w:t>d'élimination</w:t>
      </w:r>
      <w:r w:rsidR="006D3223">
        <w:rPr>
          <w:rFonts w:ascii="Arial" w:hAnsi="Arial"/>
          <w:sz w:val="22"/>
        </w:rPr>
        <w:t xml:space="preserve"> des déchets.</w:t>
      </w:r>
    </w:p>
    <w:p w:rsidR="006D3223" w:rsidRDefault="006D3223">
      <w:pPr>
        <w:ind w:left="1418"/>
        <w:jc w:val="both"/>
        <w:rPr>
          <w:rFonts w:ascii="Arial" w:hAnsi="Arial"/>
          <w:sz w:val="22"/>
        </w:rPr>
      </w:pPr>
    </w:p>
    <w:p w:rsidR="006D3223" w:rsidRDefault="006D3223" w:rsidP="005373E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Lorsque –et c'est le cas de Riorges– la compétence en matière </w:t>
      </w:r>
      <w:r w:rsidR="005373EF">
        <w:rPr>
          <w:rFonts w:ascii="Arial" w:hAnsi="Arial"/>
          <w:sz w:val="22"/>
        </w:rPr>
        <w:t>d'élimination</w:t>
      </w:r>
      <w:r w:rsidR="00254DDE">
        <w:rPr>
          <w:rFonts w:ascii="Arial" w:hAnsi="Arial"/>
          <w:sz w:val="22"/>
        </w:rPr>
        <w:t xml:space="preserve"> des </w:t>
      </w:r>
      <w:r>
        <w:rPr>
          <w:rFonts w:ascii="Arial" w:hAnsi="Arial"/>
          <w:sz w:val="22"/>
        </w:rPr>
        <w:t>déchets ménagers et assimilés a été transférée à un établissement public de coopération intercommunale, le contenu du rapport sur la qualité et le prix du service est intégré dans le rapport prévu à l'article L 5211-39 du code général des collectivités territoriales. Cette dernière disposition concerne le rapport retraçant l'activité de l'établissement que le président de l'établissement public</w:t>
      </w:r>
      <w:r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coopération intercommunale adresse</w:t>
      </w:r>
      <w:r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chaque</w:t>
      </w:r>
      <w:r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année</w:t>
      </w:r>
      <w:r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avant</w:t>
      </w:r>
      <w:r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30</w:t>
      </w:r>
      <w:r>
        <w:rPr>
          <w:rFonts w:ascii="Arial" w:hAnsi="Arial"/>
          <w:spacing w:val="-20"/>
          <w:sz w:val="22"/>
        </w:rPr>
        <w:t> </w:t>
      </w:r>
      <w:r>
        <w:rPr>
          <w:rFonts w:ascii="Arial" w:hAnsi="Arial"/>
          <w:sz w:val="22"/>
        </w:rPr>
        <w:t>septembre au maire de chaque commune membre.</w:t>
      </w:r>
    </w:p>
    <w:p w:rsidR="006D3223" w:rsidRDefault="006D3223">
      <w:pPr>
        <w:ind w:left="1418"/>
        <w:jc w:val="both"/>
        <w:rPr>
          <w:rFonts w:ascii="Arial" w:hAnsi="Arial"/>
          <w:sz w:val="22"/>
        </w:rPr>
      </w:pPr>
    </w:p>
    <w:p w:rsidR="006D3223" w:rsidRDefault="006D3223" w:rsidP="0025793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rapport sur la qualité et le prix du service public </w:t>
      </w:r>
      <w:r w:rsidR="005373EF">
        <w:rPr>
          <w:rFonts w:ascii="Arial" w:hAnsi="Arial"/>
          <w:sz w:val="22"/>
        </w:rPr>
        <w:t>d'élimination</w:t>
      </w:r>
      <w:r>
        <w:rPr>
          <w:rFonts w:ascii="Arial" w:hAnsi="Arial"/>
          <w:sz w:val="22"/>
        </w:rPr>
        <w:t xml:space="preserve"> des déchets pour l'année 20</w:t>
      </w:r>
      <w:r w:rsidR="0025793B">
        <w:rPr>
          <w:rFonts w:ascii="Arial" w:hAnsi="Arial"/>
          <w:sz w:val="22"/>
        </w:rPr>
        <w:t>1</w:t>
      </w:r>
      <w:r w:rsidR="00C5608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étant établi, il peut être communiqué à l'assemblée.</w:t>
      </w:r>
    </w:p>
    <w:p w:rsidR="007257EA" w:rsidRDefault="007257EA" w:rsidP="006D3223">
      <w:pPr>
        <w:ind w:left="1418"/>
        <w:jc w:val="both"/>
        <w:rPr>
          <w:rFonts w:ascii="Arial" w:hAnsi="Arial"/>
          <w:sz w:val="22"/>
        </w:rPr>
      </w:pPr>
    </w:p>
    <w:p w:rsidR="00BA4E4C" w:rsidRDefault="00BA4E4C" w:rsidP="006D322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 rapport prend en compte la population issue du dernier recensement, soit 10</w:t>
      </w:r>
      <w:r w:rsidR="00C5608E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 </w:t>
      </w:r>
      <w:r w:rsidR="00C5608E">
        <w:rPr>
          <w:rFonts w:ascii="Arial" w:hAnsi="Arial"/>
          <w:sz w:val="22"/>
        </w:rPr>
        <w:t>663</w:t>
      </w:r>
      <w:r>
        <w:rPr>
          <w:rFonts w:ascii="Arial" w:hAnsi="Arial"/>
          <w:sz w:val="22"/>
        </w:rPr>
        <w:t xml:space="preserve"> habitants pour le territoire de Roannais Agglomération qui comprend,</w:t>
      </w:r>
      <w:r w:rsidRPr="00BA4E4C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depuis</w:t>
      </w:r>
      <w:r w:rsidRPr="00BA4E4C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le</w:t>
      </w:r>
      <w:r w:rsidRPr="00BA4E4C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1</w:t>
      </w:r>
      <w:r>
        <w:rPr>
          <w:rFonts w:ascii="Arial" w:hAnsi="Arial"/>
          <w:sz w:val="22"/>
          <w:vertAlign w:val="superscript"/>
        </w:rPr>
        <w:t xml:space="preserve">er </w:t>
      </w:r>
      <w:r>
        <w:rPr>
          <w:rFonts w:ascii="Arial" w:hAnsi="Arial"/>
          <w:sz w:val="22"/>
        </w:rPr>
        <w:t>janvier 2013,</w:t>
      </w:r>
      <w:r w:rsidRPr="00BA4E4C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40</w:t>
      </w:r>
      <w:r w:rsidRPr="00BA4E4C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communes, pour une superficie de 696</w:t>
      </w:r>
      <w:r w:rsidRPr="00BA4E4C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 xml:space="preserve">km². </w:t>
      </w:r>
    </w:p>
    <w:p w:rsidR="00BA4E4C" w:rsidRDefault="00BA4E4C" w:rsidP="006D3223">
      <w:pPr>
        <w:ind w:left="1418"/>
        <w:jc w:val="both"/>
        <w:rPr>
          <w:rFonts w:ascii="Arial" w:hAnsi="Arial"/>
          <w:sz w:val="22"/>
        </w:rPr>
      </w:pPr>
    </w:p>
    <w:p w:rsidR="00DC7736" w:rsidRDefault="00DC7736" w:rsidP="006D322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Inscrites dans une démarche mondiale de protection de l'environnement, traduite en France par le Grenelle de l'Environnement, les grandes activités du service sont :</w:t>
      </w:r>
    </w:p>
    <w:p w:rsidR="00DC7736" w:rsidRDefault="00DC7736" w:rsidP="006D322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collecter les matières ;</w:t>
      </w:r>
    </w:p>
    <w:p w:rsidR="00DC7736" w:rsidRDefault="00DC7736" w:rsidP="006D322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les acheminer vers des points de captage définis ;</w:t>
      </w:r>
    </w:p>
    <w:p w:rsidR="00DC7736" w:rsidRDefault="00DC7736" w:rsidP="006D322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prévenir la production de déchets ;</w:t>
      </w:r>
    </w:p>
    <w:p w:rsidR="00DC7736" w:rsidRDefault="00C5608E" w:rsidP="006D322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favoriser le tri sélectif ;</w:t>
      </w:r>
    </w:p>
    <w:p w:rsidR="00C5608E" w:rsidRDefault="00C5608E" w:rsidP="006D322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optimiser les coûts du service en confortant la qualité.</w:t>
      </w:r>
    </w:p>
    <w:p w:rsidR="00DC7736" w:rsidRDefault="00DC7736" w:rsidP="006D3223">
      <w:pPr>
        <w:ind w:left="1418"/>
        <w:jc w:val="both"/>
        <w:rPr>
          <w:rFonts w:ascii="Arial" w:hAnsi="Arial"/>
          <w:sz w:val="22"/>
        </w:rPr>
      </w:pPr>
    </w:p>
    <w:p w:rsidR="00EC4C24" w:rsidRDefault="001D6E68" w:rsidP="001E4DFA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collecte des déchets ménagers et assimilés s'effectue selon deux modes opératoires</w:t>
      </w:r>
      <w:r w:rsidR="00EC4C24">
        <w:rPr>
          <w:rFonts w:ascii="Arial" w:hAnsi="Arial"/>
          <w:sz w:val="22"/>
        </w:rPr>
        <w:t xml:space="preserve"> :</w:t>
      </w:r>
    </w:p>
    <w:p w:rsidR="00EC4C24" w:rsidRPr="00EC4C24" w:rsidRDefault="001D6E68" w:rsidP="00B85C5C">
      <w:pPr>
        <w:numPr>
          <w:ilvl w:val="2"/>
          <w:numId w:val="1"/>
        </w:numPr>
        <w:tabs>
          <w:tab w:val="clear" w:pos="3578"/>
          <w:tab w:val="num" w:pos="1701"/>
        </w:tabs>
        <w:spacing w:before="40"/>
        <w:ind w:left="1702" w:hanging="284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la collecte en porte à porte (</w:t>
      </w:r>
      <w:r w:rsidR="00EC4C24">
        <w:rPr>
          <w:rFonts w:ascii="Arial" w:hAnsi="Arial"/>
          <w:sz w:val="22"/>
        </w:rPr>
        <w:t xml:space="preserve">ordures ménagères, cartons </w:t>
      </w:r>
      <w:r>
        <w:rPr>
          <w:rFonts w:ascii="Arial" w:hAnsi="Arial"/>
          <w:sz w:val="22"/>
        </w:rPr>
        <w:t xml:space="preserve">des commerçants) </w:t>
      </w:r>
      <w:r w:rsidR="00EC4C24">
        <w:rPr>
          <w:rFonts w:ascii="Arial" w:hAnsi="Arial"/>
          <w:sz w:val="22"/>
        </w:rPr>
        <w:t>;</w:t>
      </w:r>
    </w:p>
    <w:p w:rsidR="00EC4C24" w:rsidRPr="001D6E68" w:rsidRDefault="001D6E68" w:rsidP="00B85C5C">
      <w:pPr>
        <w:numPr>
          <w:ilvl w:val="2"/>
          <w:numId w:val="1"/>
        </w:numPr>
        <w:tabs>
          <w:tab w:val="clear" w:pos="3578"/>
          <w:tab w:val="num" w:pos="1701"/>
        </w:tabs>
        <w:spacing w:before="40"/>
        <w:ind w:left="1702" w:hanging="284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l'apport volontaire :</w:t>
      </w:r>
    </w:p>
    <w:p w:rsidR="001D6E68" w:rsidRDefault="001D6E68" w:rsidP="001D6E68">
      <w:pPr>
        <w:ind w:left="1701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 collecte sélective du verre, du papier et des emballages</w:t>
      </w:r>
    </w:p>
    <w:p w:rsidR="001D6E68" w:rsidRPr="001D6E68" w:rsidRDefault="001D6E68" w:rsidP="001D6E68">
      <w:pPr>
        <w:ind w:left="1701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 déchèteries (au nombre de </w:t>
      </w:r>
      <w:r w:rsidR="00DC7736">
        <w:rPr>
          <w:rFonts w:ascii="Arial" w:hAnsi="Arial"/>
          <w:bCs/>
          <w:sz w:val="22"/>
        </w:rPr>
        <w:t>quatre, sur Roanne, Riorges, Pouilly-les-Nonains et La Pacaudière</w:t>
      </w:r>
      <w:r>
        <w:rPr>
          <w:rFonts w:ascii="Arial" w:hAnsi="Arial"/>
          <w:bCs/>
          <w:sz w:val="22"/>
        </w:rPr>
        <w:t>).</w:t>
      </w:r>
    </w:p>
    <w:p w:rsidR="006D3223" w:rsidRDefault="006D3223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DC7736" w:rsidRDefault="007257EA" w:rsidP="007257EA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Toutes ces activités sont effectuées en régie directe</w:t>
      </w:r>
      <w:r w:rsidR="00DC7736">
        <w:rPr>
          <w:rFonts w:ascii="Arial" w:hAnsi="Arial"/>
          <w:sz w:val="22"/>
        </w:rPr>
        <w:t xml:space="preserve"> sur six communes (Roanne, Riorges, Villerest, Mably, Commelle Vernay et Le Coteau) et pour les 34 autres </w:t>
      </w:r>
      <w:r w:rsidR="00FC1812">
        <w:rPr>
          <w:rFonts w:ascii="Arial" w:hAnsi="Arial"/>
          <w:sz w:val="22"/>
        </w:rPr>
        <w:t>communes</w:t>
      </w:r>
      <w:r w:rsidR="00DC7736">
        <w:rPr>
          <w:rFonts w:ascii="Arial" w:hAnsi="Arial"/>
          <w:sz w:val="22"/>
        </w:rPr>
        <w:t xml:space="preserve"> par des prestataires privés.</w:t>
      </w:r>
    </w:p>
    <w:p w:rsidR="00DC7736" w:rsidRDefault="00DC7736" w:rsidP="007257EA">
      <w:pPr>
        <w:ind w:left="1418"/>
        <w:jc w:val="both"/>
        <w:rPr>
          <w:rFonts w:ascii="Arial" w:hAnsi="Arial"/>
          <w:sz w:val="22"/>
        </w:rPr>
      </w:pPr>
    </w:p>
    <w:p w:rsidR="008A2BE7" w:rsidRDefault="008A2BE7" w:rsidP="008A2BE7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service est doté :</w:t>
      </w:r>
    </w:p>
    <w:p w:rsidR="008A2BE7" w:rsidRDefault="008A2BE7" w:rsidP="008A2BE7">
      <w:pPr>
        <w:numPr>
          <w:ilvl w:val="0"/>
          <w:numId w:val="2"/>
        </w:numPr>
        <w:tabs>
          <w:tab w:val="clear" w:pos="1778"/>
          <w:tab w:val="left" w:pos="1701"/>
        </w:tabs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d'un centre technique</w:t>
      </w:r>
      <w:r w:rsidR="006F339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;</w:t>
      </w:r>
    </w:p>
    <w:p w:rsidR="008A2BE7" w:rsidRDefault="008A2BE7" w:rsidP="008A2BE7">
      <w:pPr>
        <w:numPr>
          <w:ilvl w:val="0"/>
          <w:numId w:val="2"/>
        </w:numPr>
        <w:tabs>
          <w:tab w:val="clear" w:pos="1778"/>
          <w:tab w:val="left" w:pos="1701"/>
        </w:tabs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 </w:t>
      </w:r>
      <w:r w:rsidR="007E262D">
        <w:rPr>
          <w:rFonts w:ascii="Arial" w:hAnsi="Arial"/>
          <w:sz w:val="22"/>
        </w:rPr>
        <w:t>quatre</w:t>
      </w:r>
      <w:r>
        <w:rPr>
          <w:rFonts w:ascii="Arial" w:hAnsi="Arial"/>
          <w:sz w:val="22"/>
        </w:rPr>
        <w:t xml:space="preserve"> déchèteries</w:t>
      </w:r>
      <w:r w:rsidR="007E262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;</w:t>
      </w:r>
    </w:p>
    <w:p w:rsidR="008A2BE7" w:rsidRDefault="008A2BE7" w:rsidP="008A2BE7">
      <w:pPr>
        <w:numPr>
          <w:ilvl w:val="0"/>
          <w:numId w:val="2"/>
        </w:numPr>
        <w:tabs>
          <w:tab w:val="clear" w:pos="1778"/>
          <w:tab w:val="left" w:pos="1701"/>
        </w:tabs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 </w:t>
      </w:r>
      <w:r w:rsidR="00C5608E">
        <w:rPr>
          <w:rFonts w:ascii="Arial" w:hAnsi="Arial"/>
          <w:sz w:val="22"/>
        </w:rPr>
        <w:t>23 230</w:t>
      </w:r>
      <w:r>
        <w:rPr>
          <w:rFonts w:ascii="Arial" w:hAnsi="Arial"/>
          <w:sz w:val="22"/>
        </w:rPr>
        <w:t xml:space="preserve"> bacs à ordures ménagères ;</w:t>
      </w:r>
    </w:p>
    <w:p w:rsidR="008A2BE7" w:rsidRDefault="00934655" w:rsidP="008A2BE7">
      <w:pPr>
        <w:numPr>
          <w:ilvl w:val="0"/>
          <w:numId w:val="2"/>
        </w:numPr>
        <w:tabs>
          <w:tab w:val="clear" w:pos="1778"/>
          <w:tab w:val="left" w:pos="1701"/>
        </w:tabs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</w:t>
      </w:r>
      <w:r w:rsidR="00211802">
        <w:rPr>
          <w:rFonts w:ascii="Arial" w:hAnsi="Arial"/>
          <w:sz w:val="22"/>
        </w:rPr>
        <w:t xml:space="preserve"> </w:t>
      </w:r>
      <w:r w:rsidR="00C5608E">
        <w:rPr>
          <w:rFonts w:ascii="Arial" w:hAnsi="Arial"/>
          <w:sz w:val="22"/>
        </w:rPr>
        <w:t>276</w:t>
      </w:r>
      <w:r w:rsidR="007E262D">
        <w:rPr>
          <w:rFonts w:ascii="Arial" w:hAnsi="Arial"/>
          <w:sz w:val="22"/>
        </w:rPr>
        <w:t xml:space="preserve"> points</w:t>
      </w:r>
      <w:r w:rsidR="00211802">
        <w:rPr>
          <w:rFonts w:ascii="Arial" w:hAnsi="Arial"/>
          <w:sz w:val="22"/>
        </w:rPr>
        <w:t xml:space="preserve"> d'apport volontaire </w:t>
      </w:r>
      <w:r w:rsidR="008A2BE7">
        <w:rPr>
          <w:rFonts w:ascii="Arial" w:hAnsi="Arial"/>
          <w:sz w:val="22"/>
        </w:rPr>
        <w:t>(verre, papier, emballages</w:t>
      </w:r>
      <w:r w:rsidR="00211802">
        <w:rPr>
          <w:rFonts w:ascii="Arial" w:hAnsi="Arial"/>
          <w:sz w:val="22"/>
        </w:rPr>
        <w:t>…</w:t>
      </w:r>
      <w:r w:rsidR="009757BD">
        <w:rPr>
          <w:rFonts w:ascii="Arial" w:hAnsi="Arial"/>
          <w:sz w:val="22"/>
        </w:rPr>
        <w:t>).</w:t>
      </w:r>
    </w:p>
    <w:p w:rsidR="008A2BE7" w:rsidRDefault="008A2BE7" w:rsidP="008A2BE7">
      <w:pPr>
        <w:numPr>
          <w:ilvl w:val="0"/>
          <w:numId w:val="2"/>
        </w:numPr>
        <w:tabs>
          <w:tab w:val="clear" w:pos="1778"/>
          <w:tab w:val="left" w:pos="1701"/>
        </w:tabs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d'un parc de véhicules et matériels pour la régie.</w:t>
      </w:r>
    </w:p>
    <w:p w:rsidR="00DC7736" w:rsidRDefault="00DC7736" w:rsidP="007257EA">
      <w:pPr>
        <w:ind w:left="1418"/>
        <w:jc w:val="both"/>
        <w:rPr>
          <w:rFonts w:ascii="Arial" w:hAnsi="Arial"/>
          <w:sz w:val="22"/>
        </w:rPr>
      </w:pPr>
    </w:p>
    <w:p w:rsidR="00F470BF" w:rsidRDefault="00DC7736" w:rsidP="00DE1B8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Les fréquences de collecte sont les suivantes :</w:t>
      </w:r>
    </w:p>
    <w:p w:rsidR="00DC7736" w:rsidRDefault="00DC7736" w:rsidP="00DC7736">
      <w:pPr>
        <w:numPr>
          <w:ilvl w:val="0"/>
          <w:numId w:val="6"/>
        </w:numPr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 collectes par semaine pour les secteurs du centre ville ou particulièrement dense ;</w:t>
      </w:r>
    </w:p>
    <w:p w:rsidR="00DC7736" w:rsidRDefault="00DC7736" w:rsidP="00DC7736">
      <w:pPr>
        <w:numPr>
          <w:ilvl w:val="0"/>
          <w:numId w:val="6"/>
        </w:numPr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 collecte par semaine pour les secteurs de type pavillonnaire ;</w:t>
      </w:r>
    </w:p>
    <w:p w:rsidR="00DC7736" w:rsidRDefault="00DC7736" w:rsidP="00DC7736">
      <w:pPr>
        <w:numPr>
          <w:ilvl w:val="0"/>
          <w:numId w:val="6"/>
        </w:numPr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 ou 0,5 collecte par semaine pour le rural dispersé.</w:t>
      </w:r>
    </w:p>
    <w:p w:rsidR="009E3AA3" w:rsidRDefault="009E3AA3" w:rsidP="00DE1B8B">
      <w:pPr>
        <w:ind w:left="1418"/>
        <w:jc w:val="both"/>
        <w:rPr>
          <w:rFonts w:ascii="Arial" w:hAnsi="Arial"/>
          <w:sz w:val="22"/>
        </w:rPr>
      </w:pPr>
    </w:p>
    <w:p w:rsidR="008A2BE7" w:rsidRPr="00023752" w:rsidRDefault="008A2BE7" w:rsidP="00DE1B8B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Depuis le 2 juillet 2012, la tournée mensuelle de collecte des encombrants sur les six communes de l'ex Grand Roanne Agglomération a été remplacée par un service de ramassage sur appel gratuit, en faveur du réemploi et de l'insertion professionnelle. Ce service a été confié à </w:t>
      </w:r>
      <w:r w:rsidR="00023752">
        <w:rPr>
          <w:rFonts w:ascii="Arial" w:hAnsi="Arial"/>
          <w:sz w:val="22"/>
        </w:rPr>
        <w:t>la société</w:t>
      </w:r>
      <w:r>
        <w:rPr>
          <w:rFonts w:ascii="Arial" w:hAnsi="Arial"/>
          <w:sz w:val="22"/>
        </w:rPr>
        <w:t xml:space="preserve"> C3R (Collecte Rée</w:t>
      </w:r>
      <w:r w:rsidR="00023752">
        <w:rPr>
          <w:rFonts w:ascii="Arial" w:hAnsi="Arial"/>
          <w:sz w:val="22"/>
        </w:rPr>
        <w:t xml:space="preserve">mploi et Recyclage en Roannais), </w:t>
      </w:r>
      <w:r w:rsidR="00023752" w:rsidRPr="00023752">
        <w:rPr>
          <w:rFonts w:ascii="Arial" w:hAnsi="Arial" w:cs="Arial"/>
          <w:sz w:val="22"/>
          <w:szCs w:val="22"/>
        </w:rPr>
        <w:t>société coopérative d'intérêt collectif</w:t>
      </w:r>
      <w:r w:rsidR="00023752">
        <w:rPr>
          <w:rFonts w:ascii="Arial" w:hAnsi="Arial" w:cs="Arial"/>
          <w:sz w:val="22"/>
          <w:szCs w:val="22"/>
        </w:rPr>
        <w:t>.</w:t>
      </w:r>
    </w:p>
    <w:p w:rsidR="008A2BE7" w:rsidRDefault="008A2BE7" w:rsidP="00DE1B8B">
      <w:pPr>
        <w:ind w:left="1418"/>
        <w:jc w:val="both"/>
        <w:rPr>
          <w:rFonts w:ascii="Arial" w:hAnsi="Arial"/>
          <w:sz w:val="22"/>
        </w:rPr>
      </w:pPr>
    </w:p>
    <w:p w:rsidR="008A2BE7" w:rsidRDefault="008A2BE7" w:rsidP="00DE1B8B">
      <w:pPr>
        <w:ind w:left="1418"/>
        <w:jc w:val="both"/>
        <w:rPr>
          <w:rFonts w:ascii="Arial" w:hAnsi="Arial"/>
          <w:sz w:val="22"/>
        </w:rPr>
      </w:pPr>
    </w:p>
    <w:p w:rsidR="00E00CAC" w:rsidRPr="00301BE8" w:rsidRDefault="00E00CAC" w:rsidP="005A04C3">
      <w:pPr>
        <w:ind w:left="1418"/>
        <w:jc w:val="center"/>
        <w:rPr>
          <w:rFonts w:ascii="Arial" w:hAnsi="Arial" w:cs="Arial"/>
          <w:b/>
          <w:sz w:val="24"/>
          <w:szCs w:val="24"/>
        </w:rPr>
      </w:pPr>
      <w:r w:rsidRPr="00301BE8">
        <w:rPr>
          <w:rFonts w:ascii="Arial" w:hAnsi="Arial" w:cs="Arial"/>
          <w:b/>
          <w:sz w:val="24"/>
          <w:szCs w:val="24"/>
        </w:rPr>
        <w:t>Synthèse des tonnages 20</w:t>
      </w:r>
      <w:r w:rsidR="005A04C3" w:rsidRPr="00301BE8">
        <w:rPr>
          <w:rFonts w:ascii="Arial" w:hAnsi="Arial" w:cs="Arial"/>
          <w:b/>
          <w:sz w:val="24"/>
          <w:szCs w:val="24"/>
        </w:rPr>
        <w:t>1</w:t>
      </w:r>
      <w:r w:rsidR="00CA0EC5" w:rsidRPr="00301BE8">
        <w:rPr>
          <w:rFonts w:ascii="Arial" w:hAnsi="Arial" w:cs="Arial"/>
          <w:b/>
          <w:sz w:val="24"/>
          <w:szCs w:val="24"/>
        </w:rPr>
        <w:t>3</w:t>
      </w:r>
      <w:r w:rsidR="007257EA" w:rsidRPr="00301BE8">
        <w:rPr>
          <w:rFonts w:ascii="Arial" w:hAnsi="Arial" w:cs="Arial"/>
          <w:b/>
          <w:sz w:val="24"/>
          <w:szCs w:val="24"/>
        </w:rPr>
        <w:t>/201</w:t>
      </w:r>
      <w:r w:rsidR="00CA0EC5" w:rsidRPr="00301BE8">
        <w:rPr>
          <w:rFonts w:ascii="Arial" w:hAnsi="Arial" w:cs="Arial"/>
          <w:b/>
          <w:sz w:val="24"/>
          <w:szCs w:val="24"/>
        </w:rPr>
        <w:t>4</w:t>
      </w:r>
    </w:p>
    <w:p w:rsidR="00E00CAC" w:rsidRPr="007D4902" w:rsidRDefault="00E00CAC" w:rsidP="00E00CAC">
      <w:pPr>
        <w:ind w:left="1418"/>
        <w:jc w:val="both"/>
        <w:rPr>
          <w:rFonts w:ascii="Arial" w:hAnsi="Arial"/>
          <w:sz w:val="16"/>
          <w:szCs w:val="16"/>
        </w:rPr>
      </w:pPr>
    </w:p>
    <w:tbl>
      <w:tblPr>
        <w:tblW w:w="850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977"/>
        <w:gridCol w:w="1559"/>
        <w:gridCol w:w="1559"/>
        <w:gridCol w:w="1418"/>
      </w:tblGrid>
      <w:tr w:rsidR="00E00CAC" w:rsidRPr="00B85C5C" w:rsidTr="00B85C5C"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E00CAC" w:rsidRPr="00B85C5C" w:rsidRDefault="00E00CAC" w:rsidP="00D0431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00CAC" w:rsidRPr="00B85C5C" w:rsidRDefault="00E00CAC" w:rsidP="00D04314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85C5C">
              <w:rPr>
                <w:rFonts w:ascii="Arial" w:hAnsi="Arial"/>
                <w:b/>
                <w:bCs/>
                <w:sz w:val="18"/>
                <w:szCs w:val="18"/>
              </w:rPr>
              <w:t>Type de déchets collectés</w:t>
            </w:r>
          </w:p>
        </w:tc>
        <w:tc>
          <w:tcPr>
            <w:tcW w:w="1559" w:type="dxa"/>
            <w:vAlign w:val="center"/>
          </w:tcPr>
          <w:p w:rsidR="00E00CAC" w:rsidRPr="00B85C5C" w:rsidRDefault="00E00CAC" w:rsidP="00CA0EC5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85C5C">
              <w:rPr>
                <w:rFonts w:ascii="Arial" w:hAnsi="Arial"/>
                <w:b/>
                <w:bCs/>
                <w:sz w:val="18"/>
                <w:szCs w:val="18"/>
              </w:rPr>
              <w:t>Tonnages 20</w:t>
            </w:r>
            <w:r w:rsidR="00877814" w:rsidRPr="00B85C5C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  <w:r w:rsidR="00CA0EC5"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E00CAC" w:rsidRPr="00B85C5C" w:rsidRDefault="00A51A2E" w:rsidP="00CA0EC5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85C5C">
              <w:rPr>
                <w:rFonts w:ascii="Arial" w:hAnsi="Arial"/>
                <w:b/>
                <w:bCs/>
                <w:sz w:val="18"/>
                <w:szCs w:val="18"/>
              </w:rPr>
              <w:t>Tonnages 20</w:t>
            </w:r>
            <w:r w:rsidR="005A04C3" w:rsidRPr="00B85C5C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  <w:r w:rsidR="00CA0EC5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E00CAC" w:rsidRPr="00B85C5C" w:rsidRDefault="00E00CAC" w:rsidP="00D04314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85C5C">
              <w:rPr>
                <w:rFonts w:ascii="Arial" w:hAnsi="Arial"/>
                <w:b/>
                <w:bCs/>
                <w:sz w:val="18"/>
                <w:szCs w:val="18"/>
              </w:rPr>
              <w:t xml:space="preserve">Evolution </w:t>
            </w:r>
          </w:p>
        </w:tc>
      </w:tr>
      <w:tr w:rsidR="00790E11" w:rsidRPr="00B85C5C" w:rsidTr="00CA0EC5">
        <w:trPr>
          <w:trHeight w:val="489"/>
        </w:trPr>
        <w:tc>
          <w:tcPr>
            <w:tcW w:w="992" w:type="dxa"/>
            <w:vMerge w:val="restart"/>
            <w:textDirection w:val="btLr"/>
            <w:vAlign w:val="center"/>
          </w:tcPr>
          <w:p w:rsidR="00790E11" w:rsidRPr="00B85C5C" w:rsidRDefault="00790E11" w:rsidP="00D04314">
            <w:pPr>
              <w:spacing w:before="60" w:after="60"/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85C5C">
              <w:rPr>
                <w:rFonts w:ascii="Arial" w:hAnsi="Arial"/>
                <w:b/>
                <w:bCs/>
                <w:sz w:val="18"/>
                <w:szCs w:val="18"/>
              </w:rPr>
              <w:t>PORTE A PORTE</w:t>
            </w:r>
          </w:p>
        </w:tc>
        <w:tc>
          <w:tcPr>
            <w:tcW w:w="2977" w:type="dxa"/>
            <w:vAlign w:val="center"/>
          </w:tcPr>
          <w:p w:rsidR="00790E11" w:rsidRPr="00B85C5C" w:rsidRDefault="00790E11" w:rsidP="00D04314">
            <w:pPr>
              <w:spacing w:before="60" w:after="60"/>
              <w:rPr>
                <w:rFonts w:ascii="Arial" w:hAnsi="Arial"/>
                <w:sz w:val="22"/>
              </w:rPr>
            </w:pPr>
            <w:r w:rsidRPr="00B85C5C">
              <w:rPr>
                <w:rFonts w:ascii="Arial" w:hAnsi="Arial"/>
                <w:sz w:val="22"/>
              </w:rPr>
              <w:t xml:space="preserve">Ordures ménagères </w:t>
            </w:r>
          </w:p>
        </w:tc>
        <w:tc>
          <w:tcPr>
            <w:tcW w:w="1559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23 949,66</w:t>
            </w:r>
          </w:p>
        </w:tc>
        <w:tc>
          <w:tcPr>
            <w:tcW w:w="1559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24 175,14</w:t>
            </w:r>
          </w:p>
        </w:tc>
        <w:tc>
          <w:tcPr>
            <w:tcW w:w="1418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1 %</w:t>
            </w:r>
          </w:p>
        </w:tc>
      </w:tr>
      <w:tr w:rsidR="00790E11" w:rsidRPr="00B85C5C" w:rsidTr="00CA0EC5">
        <w:trPr>
          <w:trHeight w:val="411"/>
        </w:trPr>
        <w:tc>
          <w:tcPr>
            <w:tcW w:w="992" w:type="dxa"/>
            <w:vMerge/>
            <w:vAlign w:val="center"/>
          </w:tcPr>
          <w:p w:rsidR="00790E11" w:rsidRPr="00B85C5C" w:rsidRDefault="00790E11" w:rsidP="00D0431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90E11" w:rsidRPr="00B85C5C" w:rsidRDefault="00790E11" w:rsidP="00D04314">
            <w:pPr>
              <w:spacing w:before="60" w:after="60"/>
              <w:rPr>
                <w:rFonts w:ascii="Arial" w:hAnsi="Arial"/>
                <w:sz w:val="22"/>
              </w:rPr>
            </w:pPr>
            <w:r w:rsidRPr="00B85C5C">
              <w:rPr>
                <w:rFonts w:ascii="Arial" w:hAnsi="Arial"/>
                <w:sz w:val="22"/>
              </w:rPr>
              <w:t>Cartons des commerçants</w:t>
            </w:r>
          </w:p>
        </w:tc>
        <w:tc>
          <w:tcPr>
            <w:tcW w:w="1559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288,18</w:t>
            </w:r>
          </w:p>
        </w:tc>
        <w:tc>
          <w:tcPr>
            <w:tcW w:w="1559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268,00</w:t>
            </w:r>
          </w:p>
        </w:tc>
        <w:tc>
          <w:tcPr>
            <w:tcW w:w="1418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- 7 %</w:t>
            </w:r>
          </w:p>
        </w:tc>
      </w:tr>
      <w:tr w:rsidR="00790E11" w:rsidRPr="00B85C5C" w:rsidTr="00B85C5C">
        <w:tc>
          <w:tcPr>
            <w:tcW w:w="992" w:type="dxa"/>
            <w:vMerge w:val="restart"/>
            <w:textDirection w:val="btLr"/>
            <w:vAlign w:val="center"/>
          </w:tcPr>
          <w:p w:rsidR="00790E11" w:rsidRPr="00B85C5C" w:rsidRDefault="00790E11" w:rsidP="00D04314">
            <w:pPr>
              <w:spacing w:before="60" w:after="60"/>
              <w:ind w:left="113" w:right="113"/>
              <w:jc w:val="center"/>
              <w:rPr>
                <w:rFonts w:ascii="Arial" w:hAnsi="Arial"/>
                <w:sz w:val="18"/>
                <w:szCs w:val="18"/>
              </w:rPr>
            </w:pPr>
            <w:r w:rsidRPr="00B85C5C">
              <w:rPr>
                <w:rFonts w:ascii="Arial" w:hAnsi="Arial"/>
                <w:b/>
                <w:bCs/>
                <w:sz w:val="18"/>
                <w:szCs w:val="18"/>
              </w:rPr>
              <w:t>APPORT VOLONTAIRE</w:t>
            </w:r>
          </w:p>
        </w:tc>
        <w:tc>
          <w:tcPr>
            <w:tcW w:w="2977" w:type="dxa"/>
            <w:vAlign w:val="center"/>
          </w:tcPr>
          <w:p w:rsidR="00790E11" w:rsidRPr="00B85C5C" w:rsidRDefault="00790E11" w:rsidP="00D04314">
            <w:pPr>
              <w:spacing w:before="60" w:after="60"/>
              <w:rPr>
                <w:rFonts w:ascii="Arial" w:hAnsi="Arial"/>
                <w:sz w:val="22"/>
              </w:rPr>
            </w:pPr>
            <w:r w:rsidRPr="00B85C5C">
              <w:rPr>
                <w:rFonts w:ascii="Arial" w:hAnsi="Arial"/>
                <w:sz w:val="22"/>
              </w:rPr>
              <w:t>Déchèteries</w:t>
            </w:r>
          </w:p>
        </w:tc>
        <w:tc>
          <w:tcPr>
            <w:tcW w:w="1559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18 737,69</w:t>
            </w:r>
          </w:p>
        </w:tc>
        <w:tc>
          <w:tcPr>
            <w:tcW w:w="1559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19 522,80</w:t>
            </w:r>
          </w:p>
        </w:tc>
        <w:tc>
          <w:tcPr>
            <w:tcW w:w="1418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4 %</w:t>
            </w:r>
          </w:p>
        </w:tc>
      </w:tr>
      <w:tr w:rsidR="00790E11" w:rsidRPr="00B85C5C" w:rsidTr="00B85C5C">
        <w:tc>
          <w:tcPr>
            <w:tcW w:w="992" w:type="dxa"/>
            <w:vMerge/>
            <w:vAlign w:val="center"/>
          </w:tcPr>
          <w:p w:rsidR="00790E11" w:rsidRPr="00B85C5C" w:rsidRDefault="00790E11" w:rsidP="00D0431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90E11" w:rsidRPr="00B85C5C" w:rsidRDefault="00790E11" w:rsidP="00D04314">
            <w:pPr>
              <w:spacing w:before="60" w:after="60"/>
              <w:rPr>
                <w:rFonts w:ascii="Arial" w:hAnsi="Arial"/>
                <w:i/>
                <w:iCs/>
                <w:sz w:val="22"/>
              </w:rPr>
            </w:pPr>
            <w:r w:rsidRPr="00B85C5C">
              <w:rPr>
                <w:rFonts w:ascii="Arial" w:hAnsi="Arial"/>
                <w:i/>
                <w:iCs/>
                <w:sz w:val="22"/>
              </w:rPr>
              <w:t>Déchèteries (valorisé</w:t>
            </w:r>
            <w:r w:rsidR="008A2BE7">
              <w:rPr>
                <w:rFonts w:ascii="Arial" w:hAnsi="Arial"/>
                <w:i/>
                <w:iCs/>
                <w:sz w:val="22"/>
              </w:rPr>
              <w:t>s</w:t>
            </w:r>
            <w:r w:rsidRPr="00B85C5C">
              <w:rPr>
                <w:rFonts w:ascii="Arial" w:hAnsi="Arial"/>
                <w:i/>
                <w:iCs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14 615,83</w:t>
            </w:r>
          </w:p>
        </w:tc>
        <w:tc>
          <w:tcPr>
            <w:tcW w:w="1559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14 994,96</w:t>
            </w:r>
          </w:p>
        </w:tc>
        <w:tc>
          <w:tcPr>
            <w:tcW w:w="1418" w:type="dxa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3 %</w:t>
            </w:r>
          </w:p>
        </w:tc>
      </w:tr>
      <w:tr w:rsidR="00790E11" w:rsidRPr="00B85C5C" w:rsidTr="00B85C5C">
        <w:tc>
          <w:tcPr>
            <w:tcW w:w="992" w:type="dxa"/>
            <w:vMerge/>
            <w:vAlign w:val="center"/>
          </w:tcPr>
          <w:p w:rsidR="00790E11" w:rsidRPr="00B85C5C" w:rsidRDefault="00790E11" w:rsidP="00D0431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0E11" w:rsidRPr="00B85C5C" w:rsidRDefault="00790E11" w:rsidP="00D04314">
            <w:pPr>
              <w:spacing w:before="60" w:after="60"/>
              <w:rPr>
                <w:rFonts w:ascii="Arial" w:hAnsi="Arial"/>
                <w:i/>
                <w:iCs/>
                <w:sz w:val="22"/>
              </w:rPr>
            </w:pPr>
            <w:r w:rsidRPr="00B85C5C">
              <w:rPr>
                <w:rFonts w:ascii="Arial" w:hAnsi="Arial"/>
                <w:i/>
                <w:iCs/>
                <w:sz w:val="22"/>
              </w:rPr>
              <w:t>Déchèteries (encombrants non recyclables)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4 121,86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4 527,84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10 %</w:t>
            </w:r>
          </w:p>
        </w:tc>
      </w:tr>
      <w:tr w:rsidR="00790E11" w:rsidRPr="00B85C5C" w:rsidTr="00B85C5C">
        <w:tc>
          <w:tcPr>
            <w:tcW w:w="992" w:type="dxa"/>
            <w:vMerge/>
            <w:vAlign w:val="center"/>
          </w:tcPr>
          <w:p w:rsidR="00790E11" w:rsidRPr="00B85C5C" w:rsidRDefault="00790E11" w:rsidP="00D0431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90E11" w:rsidRPr="00B85C5C" w:rsidRDefault="00790E11" w:rsidP="00D04314">
            <w:pPr>
              <w:spacing w:before="60" w:after="60"/>
              <w:rPr>
                <w:rFonts w:ascii="Arial" w:hAnsi="Arial"/>
                <w:i/>
                <w:iCs/>
                <w:sz w:val="22"/>
              </w:rPr>
            </w:pPr>
            <w:r w:rsidRPr="00B85C5C">
              <w:rPr>
                <w:rFonts w:ascii="Arial" w:hAnsi="Arial"/>
                <w:i/>
                <w:iCs/>
                <w:sz w:val="22"/>
              </w:rPr>
              <w:t>Déchèteries (inertes)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5 849,47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6 722,68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15 %</w:t>
            </w:r>
          </w:p>
        </w:tc>
      </w:tr>
      <w:tr w:rsidR="00790E11" w:rsidRPr="00B85C5C" w:rsidTr="00B85C5C"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790E11" w:rsidRPr="00B85C5C" w:rsidRDefault="00790E11" w:rsidP="00D0431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90E11" w:rsidRPr="00B85C5C" w:rsidRDefault="00790E11" w:rsidP="00D04314">
            <w:pPr>
              <w:spacing w:before="60" w:after="60"/>
              <w:rPr>
                <w:rFonts w:ascii="Arial" w:hAnsi="Arial"/>
                <w:b/>
                <w:bCs/>
                <w:sz w:val="22"/>
              </w:rPr>
            </w:pPr>
            <w:r w:rsidRPr="00B85C5C">
              <w:rPr>
                <w:rFonts w:ascii="Arial" w:hAnsi="Arial"/>
                <w:sz w:val="22"/>
              </w:rPr>
              <w:t>Collecte sélective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6 670,53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6 740,68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E11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1 %</w:t>
            </w:r>
          </w:p>
        </w:tc>
      </w:tr>
      <w:tr w:rsidR="00E00CAC" w:rsidRPr="00B85C5C" w:rsidTr="00B85C5C"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E00CAC" w:rsidRPr="00B85C5C" w:rsidRDefault="00E00CAC" w:rsidP="00D0431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77" w:type="dxa"/>
            <w:shd w:val="pct20" w:color="auto" w:fill="auto"/>
            <w:vAlign w:val="center"/>
          </w:tcPr>
          <w:p w:rsidR="00E00CAC" w:rsidRPr="00B85C5C" w:rsidRDefault="00E00CAC" w:rsidP="00D04314">
            <w:pPr>
              <w:spacing w:before="60" w:after="60"/>
              <w:ind w:left="459"/>
              <w:rPr>
                <w:rFonts w:ascii="Arial" w:hAnsi="Arial"/>
                <w:b/>
                <w:bCs/>
                <w:sz w:val="22"/>
              </w:rPr>
            </w:pPr>
            <w:r w:rsidRPr="00B85C5C">
              <w:rPr>
                <w:rFonts w:ascii="Arial" w:hAnsi="Arial"/>
                <w:b/>
                <w:bCs/>
                <w:sz w:val="22"/>
              </w:rPr>
              <w:t>TOTAL COLLECTES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E00CAC" w:rsidRPr="00B85C5C" w:rsidRDefault="00CA0EC5" w:rsidP="00D04314">
            <w:pPr>
              <w:spacing w:before="60" w:after="60"/>
              <w:ind w:right="175"/>
              <w:jc w:val="right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49 646,06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E00CAC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50 706,62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E00CAC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2,14 %</w:t>
            </w:r>
          </w:p>
        </w:tc>
      </w:tr>
      <w:tr w:rsidR="00E00CAC" w:rsidRPr="00B85C5C" w:rsidTr="00B85C5C"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E00CAC" w:rsidRPr="00B85C5C" w:rsidRDefault="00E00CAC" w:rsidP="00D04314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00CAC" w:rsidRPr="00B85C5C" w:rsidRDefault="00E00CAC" w:rsidP="00D04314">
            <w:pPr>
              <w:spacing w:before="60" w:after="60"/>
              <w:ind w:left="459"/>
              <w:rPr>
                <w:rFonts w:ascii="Arial" w:hAnsi="Arial"/>
                <w:b/>
                <w:bCs/>
                <w:i/>
                <w:iCs/>
                <w:sz w:val="22"/>
              </w:rPr>
            </w:pPr>
            <w:r w:rsidRPr="00B85C5C">
              <w:rPr>
                <w:rFonts w:ascii="Arial" w:hAnsi="Arial"/>
                <w:b/>
                <w:bCs/>
                <w:i/>
                <w:iCs/>
                <w:sz w:val="22"/>
              </w:rPr>
              <w:t xml:space="preserve">TOTAL hors </w:t>
            </w:r>
            <w:r w:rsidR="004676EB" w:rsidRPr="00B85C5C">
              <w:rPr>
                <w:rFonts w:ascii="Arial" w:hAnsi="Arial"/>
                <w:b/>
                <w:bCs/>
                <w:i/>
                <w:iCs/>
                <w:sz w:val="22"/>
              </w:rPr>
              <w:t>inertes</w:t>
            </w:r>
          </w:p>
        </w:tc>
        <w:tc>
          <w:tcPr>
            <w:tcW w:w="1559" w:type="dxa"/>
            <w:vAlign w:val="center"/>
          </w:tcPr>
          <w:p w:rsidR="00E00CAC" w:rsidRPr="00B85C5C" w:rsidRDefault="00CA0EC5" w:rsidP="00D04314">
            <w:pPr>
              <w:spacing w:before="60" w:after="60"/>
              <w:ind w:right="175"/>
              <w:jc w:val="right"/>
              <w:rPr>
                <w:rFonts w:ascii="Arial" w:hAnsi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</w:rPr>
              <w:t>43 796,59</w:t>
            </w:r>
          </w:p>
        </w:tc>
        <w:tc>
          <w:tcPr>
            <w:tcW w:w="1559" w:type="dxa"/>
            <w:vAlign w:val="center"/>
          </w:tcPr>
          <w:p w:rsidR="00E00CAC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</w:rPr>
              <w:t>43 983,94</w:t>
            </w:r>
          </w:p>
        </w:tc>
        <w:tc>
          <w:tcPr>
            <w:tcW w:w="1418" w:type="dxa"/>
            <w:vAlign w:val="center"/>
          </w:tcPr>
          <w:p w:rsidR="00E00CAC" w:rsidRPr="00B85C5C" w:rsidRDefault="00CA0EC5" w:rsidP="00D04314">
            <w:pPr>
              <w:spacing w:before="60" w:after="60"/>
              <w:ind w:right="98"/>
              <w:jc w:val="right"/>
              <w:rPr>
                <w:rFonts w:ascii="Arial" w:hAnsi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</w:rPr>
              <w:t>0,4 %</w:t>
            </w:r>
          </w:p>
        </w:tc>
      </w:tr>
    </w:tbl>
    <w:p w:rsidR="00E00CAC" w:rsidRPr="00273A44" w:rsidRDefault="00E00CAC" w:rsidP="00E00CAC">
      <w:pPr>
        <w:ind w:left="1418"/>
        <w:jc w:val="both"/>
        <w:rPr>
          <w:rFonts w:ascii="Arial" w:hAnsi="Arial"/>
          <w:sz w:val="16"/>
          <w:szCs w:val="16"/>
        </w:rPr>
      </w:pPr>
    </w:p>
    <w:p w:rsidR="00261787" w:rsidRDefault="00E00CAC" w:rsidP="00353730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Les tonnages représentent </w:t>
      </w:r>
      <w:r w:rsidR="00D63FD9">
        <w:rPr>
          <w:rFonts w:ascii="Arial" w:hAnsi="Arial"/>
          <w:sz w:val="22"/>
        </w:rPr>
        <w:t>578,39</w:t>
      </w:r>
      <w:r w:rsidR="007D4902">
        <w:rPr>
          <w:rFonts w:ascii="Arial" w:hAnsi="Arial"/>
          <w:sz w:val="22"/>
        </w:rPr>
        <w:t xml:space="preserve"> kg/</w:t>
      </w:r>
      <w:r w:rsidR="00514B76">
        <w:rPr>
          <w:rFonts w:ascii="Arial" w:hAnsi="Arial"/>
          <w:sz w:val="22"/>
        </w:rPr>
        <w:t>an/</w:t>
      </w:r>
      <w:r w:rsidR="007D4902">
        <w:rPr>
          <w:rFonts w:ascii="Arial" w:hAnsi="Arial"/>
          <w:sz w:val="22"/>
        </w:rPr>
        <w:t>habitant (total collecté par rapport à la population concernée</w:t>
      </w:r>
      <w:r w:rsidR="00353730">
        <w:rPr>
          <w:rFonts w:ascii="Arial" w:hAnsi="Arial"/>
          <w:sz w:val="22"/>
        </w:rPr>
        <w:t xml:space="preserve"> y compris inertes</w:t>
      </w:r>
      <w:r w:rsidR="007D4902">
        <w:rPr>
          <w:rFonts w:ascii="Arial" w:hAnsi="Arial"/>
          <w:sz w:val="22"/>
        </w:rPr>
        <w:t>).</w:t>
      </w:r>
    </w:p>
    <w:p w:rsidR="00353730" w:rsidRDefault="00353730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B63C9B" w:rsidRDefault="00B63C9B">
      <w:pPr>
        <w:ind w:left="1418"/>
        <w:jc w:val="both"/>
        <w:rPr>
          <w:rFonts w:ascii="Arial" w:hAnsi="Arial"/>
          <w:sz w:val="22"/>
        </w:rPr>
      </w:pPr>
    </w:p>
    <w:p w:rsidR="00D04314" w:rsidRDefault="00D04314" w:rsidP="00E2077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Globalement, les tonnages issus de la collecte sélective </w:t>
      </w:r>
      <w:r w:rsidR="00ED0BE4">
        <w:rPr>
          <w:rFonts w:ascii="Arial" w:hAnsi="Arial"/>
          <w:sz w:val="22"/>
        </w:rPr>
        <w:t>augmentent</w:t>
      </w:r>
      <w:r>
        <w:rPr>
          <w:rFonts w:ascii="Arial" w:hAnsi="Arial"/>
          <w:sz w:val="22"/>
        </w:rPr>
        <w:t xml:space="preserve"> de 1,</w:t>
      </w:r>
      <w:r w:rsidR="00ED0BE4">
        <w:rPr>
          <w:rFonts w:ascii="Arial" w:hAnsi="Arial"/>
          <w:sz w:val="22"/>
        </w:rPr>
        <w:t>06</w:t>
      </w:r>
      <w:r>
        <w:rPr>
          <w:rFonts w:ascii="Arial" w:hAnsi="Arial"/>
          <w:sz w:val="22"/>
        </w:rPr>
        <w:t xml:space="preserve"> % :</w:t>
      </w:r>
    </w:p>
    <w:p w:rsidR="00D04314" w:rsidRDefault="00D04314" w:rsidP="00E2077F">
      <w:pPr>
        <w:ind w:left="1418"/>
        <w:jc w:val="both"/>
        <w:rPr>
          <w:rFonts w:ascii="Arial" w:hAnsi="Arial"/>
          <w:sz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2"/>
        <w:gridCol w:w="2109"/>
        <w:gridCol w:w="2109"/>
        <w:gridCol w:w="2109"/>
      </w:tblGrid>
      <w:tr w:rsidR="00D04314" w:rsidRPr="00D04314" w:rsidTr="007C393F">
        <w:tc>
          <w:tcPr>
            <w:tcW w:w="2002" w:type="dxa"/>
          </w:tcPr>
          <w:p w:rsidR="00D04314" w:rsidRPr="007C393F" w:rsidRDefault="00D04314" w:rsidP="007C393F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09" w:type="dxa"/>
          </w:tcPr>
          <w:p w:rsidR="00D04314" w:rsidRPr="007C393F" w:rsidRDefault="00D04314" w:rsidP="00D63FD9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C393F">
              <w:rPr>
                <w:rFonts w:ascii="Arial" w:hAnsi="Arial"/>
                <w:b/>
                <w:sz w:val="18"/>
                <w:szCs w:val="18"/>
              </w:rPr>
              <w:t>Tonnes collectées 201</w:t>
            </w:r>
            <w:r w:rsidR="00D63FD9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2109" w:type="dxa"/>
          </w:tcPr>
          <w:p w:rsidR="00D04314" w:rsidRPr="007C393F" w:rsidRDefault="00D04314" w:rsidP="00D63FD9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C393F">
              <w:rPr>
                <w:rFonts w:ascii="Arial" w:hAnsi="Arial"/>
                <w:b/>
                <w:sz w:val="18"/>
                <w:szCs w:val="18"/>
              </w:rPr>
              <w:t>Tonnes collectées 201</w:t>
            </w:r>
            <w:r w:rsidR="00D63FD9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2109" w:type="dxa"/>
          </w:tcPr>
          <w:p w:rsidR="00D04314" w:rsidRPr="007C393F" w:rsidRDefault="00D04314" w:rsidP="007C393F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C393F">
              <w:rPr>
                <w:rFonts w:ascii="Arial" w:hAnsi="Arial"/>
                <w:b/>
                <w:sz w:val="18"/>
                <w:szCs w:val="18"/>
              </w:rPr>
              <w:t>Evolution</w:t>
            </w:r>
          </w:p>
        </w:tc>
      </w:tr>
      <w:tr w:rsidR="00D04314" w:rsidTr="007C393F">
        <w:tc>
          <w:tcPr>
            <w:tcW w:w="2002" w:type="dxa"/>
          </w:tcPr>
          <w:p w:rsidR="00D04314" w:rsidRPr="007C393F" w:rsidRDefault="00D04314" w:rsidP="007C393F">
            <w:pPr>
              <w:spacing w:before="40" w:after="40"/>
              <w:jc w:val="both"/>
              <w:rPr>
                <w:rFonts w:ascii="Arial" w:hAnsi="Arial"/>
                <w:sz w:val="22"/>
              </w:rPr>
            </w:pPr>
            <w:r w:rsidRPr="007C393F">
              <w:rPr>
                <w:rFonts w:ascii="Arial" w:hAnsi="Arial"/>
                <w:sz w:val="22"/>
              </w:rPr>
              <w:t>Emballages</w:t>
            </w:r>
          </w:p>
        </w:tc>
        <w:tc>
          <w:tcPr>
            <w:tcW w:w="2109" w:type="dxa"/>
          </w:tcPr>
          <w:p w:rsidR="00D04314" w:rsidRPr="007C393F" w:rsidRDefault="00D63FD9" w:rsidP="007C393F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1 172</w:t>
            </w:r>
          </w:p>
        </w:tc>
        <w:tc>
          <w:tcPr>
            <w:tcW w:w="2109" w:type="dxa"/>
          </w:tcPr>
          <w:p w:rsidR="00D04314" w:rsidRPr="007C393F" w:rsidRDefault="00D63FD9" w:rsidP="007C393F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1 207</w:t>
            </w:r>
          </w:p>
        </w:tc>
        <w:tc>
          <w:tcPr>
            <w:tcW w:w="2109" w:type="dxa"/>
          </w:tcPr>
          <w:p w:rsidR="00D04314" w:rsidRPr="007C393F" w:rsidRDefault="00D04314" w:rsidP="00ED0BE4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 w:rsidRPr="007C393F">
              <w:rPr>
                <w:rFonts w:ascii="Arial" w:hAnsi="Arial"/>
                <w:sz w:val="22"/>
              </w:rPr>
              <w:t xml:space="preserve">+ </w:t>
            </w:r>
            <w:r w:rsidR="00ED0BE4">
              <w:rPr>
                <w:rFonts w:ascii="Arial" w:hAnsi="Arial"/>
                <w:sz w:val="22"/>
              </w:rPr>
              <w:t>2,99</w:t>
            </w:r>
            <w:r w:rsidRPr="007C393F">
              <w:rPr>
                <w:rFonts w:ascii="Arial" w:hAnsi="Arial"/>
                <w:sz w:val="22"/>
              </w:rPr>
              <w:t xml:space="preserve"> %</w:t>
            </w:r>
          </w:p>
        </w:tc>
      </w:tr>
      <w:tr w:rsidR="00D04314" w:rsidTr="007C393F">
        <w:tc>
          <w:tcPr>
            <w:tcW w:w="2002" w:type="dxa"/>
          </w:tcPr>
          <w:p w:rsidR="00D04314" w:rsidRPr="007C393F" w:rsidRDefault="00D04314" w:rsidP="007C393F">
            <w:pPr>
              <w:spacing w:before="40" w:after="40"/>
              <w:jc w:val="both"/>
              <w:rPr>
                <w:rFonts w:ascii="Arial" w:hAnsi="Arial"/>
                <w:sz w:val="22"/>
              </w:rPr>
            </w:pPr>
            <w:r w:rsidRPr="007C393F">
              <w:rPr>
                <w:rFonts w:ascii="Arial" w:hAnsi="Arial"/>
                <w:sz w:val="22"/>
              </w:rPr>
              <w:t>Papier</w:t>
            </w:r>
          </w:p>
        </w:tc>
        <w:tc>
          <w:tcPr>
            <w:tcW w:w="2109" w:type="dxa"/>
          </w:tcPr>
          <w:p w:rsidR="00D04314" w:rsidRPr="007C393F" w:rsidRDefault="00D63FD9" w:rsidP="007C393F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2 609</w:t>
            </w:r>
          </w:p>
        </w:tc>
        <w:tc>
          <w:tcPr>
            <w:tcW w:w="2109" w:type="dxa"/>
          </w:tcPr>
          <w:p w:rsidR="00D04314" w:rsidRPr="007C393F" w:rsidRDefault="00D63FD9" w:rsidP="007C393F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2 556</w:t>
            </w:r>
          </w:p>
        </w:tc>
        <w:tc>
          <w:tcPr>
            <w:tcW w:w="2109" w:type="dxa"/>
          </w:tcPr>
          <w:p w:rsidR="00D04314" w:rsidRPr="007C393F" w:rsidRDefault="00ED0BE4" w:rsidP="007C393F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- 2,03</w:t>
            </w:r>
            <w:r w:rsidR="00D04314" w:rsidRPr="007C393F">
              <w:rPr>
                <w:rFonts w:ascii="Arial" w:hAnsi="Arial"/>
                <w:sz w:val="22"/>
              </w:rPr>
              <w:t xml:space="preserve"> %</w:t>
            </w:r>
          </w:p>
        </w:tc>
      </w:tr>
      <w:tr w:rsidR="00D04314" w:rsidTr="007C393F">
        <w:tc>
          <w:tcPr>
            <w:tcW w:w="2002" w:type="dxa"/>
          </w:tcPr>
          <w:p w:rsidR="00D04314" w:rsidRPr="007C393F" w:rsidRDefault="00D04314" w:rsidP="007C393F">
            <w:pPr>
              <w:spacing w:before="40" w:after="40"/>
              <w:jc w:val="both"/>
              <w:rPr>
                <w:rFonts w:ascii="Arial" w:hAnsi="Arial"/>
                <w:sz w:val="22"/>
              </w:rPr>
            </w:pPr>
            <w:r w:rsidRPr="007C393F">
              <w:rPr>
                <w:rFonts w:ascii="Arial" w:hAnsi="Arial"/>
                <w:sz w:val="22"/>
              </w:rPr>
              <w:t>Verre</w:t>
            </w:r>
          </w:p>
        </w:tc>
        <w:tc>
          <w:tcPr>
            <w:tcW w:w="2109" w:type="dxa"/>
          </w:tcPr>
          <w:p w:rsidR="00D04314" w:rsidRPr="007C393F" w:rsidRDefault="00D63FD9" w:rsidP="007C393F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2 889</w:t>
            </w:r>
          </w:p>
        </w:tc>
        <w:tc>
          <w:tcPr>
            <w:tcW w:w="2109" w:type="dxa"/>
          </w:tcPr>
          <w:p w:rsidR="00D04314" w:rsidRPr="007C393F" w:rsidRDefault="00D63FD9" w:rsidP="007C393F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2 978</w:t>
            </w:r>
          </w:p>
        </w:tc>
        <w:tc>
          <w:tcPr>
            <w:tcW w:w="2109" w:type="dxa"/>
          </w:tcPr>
          <w:p w:rsidR="00D04314" w:rsidRPr="007C393F" w:rsidRDefault="00ED0BE4" w:rsidP="00ED0BE4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+ 3,08 </w:t>
            </w:r>
            <w:r w:rsidR="00D04314" w:rsidRPr="007C393F">
              <w:rPr>
                <w:rFonts w:ascii="Arial" w:hAnsi="Arial"/>
                <w:sz w:val="22"/>
              </w:rPr>
              <w:t>%</w:t>
            </w:r>
          </w:p>
        </w:tc>
      </w:tr>
      <w:tr w:rsidR="00D04314" w:rsidRPr="00934655" w:rsidTr="007C393F">
        <w:tc>
          <w:tcPr>
            <w:tcW w:w="2002" w:type="dxa"/>
          </w:tcPr>
          <w:p w:rsidR="00D04314" w:rsidRPr="007C393F" w:rsidRDefault="00D04314" w:rsidP="007C393F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 w:rsidRPr="007C393F">
              <w:rPr>
                <w:rFonts w:ascii="Arial" w:hAnsi="Arial"/>
                <w:b/>
                <w:sz w:val="22"/>
              </w:rPr>
              <w:t>Total</w:t>
            </w:r>
          </w:p>
        </w:tc>
        <w:tc>
          <w:tcPr>
            <w:tcW w:w="2109" w:type="dxa"/>
          </w:tcPr>
          <w:p w:rsidR="00D04314" w:rsidRPr="007C393F" w:rsidRDefault="00D63FD9" w:rsidP="007C393F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6 670</w:t>
            </w:r>
          </w:p>
        </w:tc>
        <w:tc>
          <w:tcPr>
            <w:tcW w:w="2109" w:type="dxa"/>
          </w:tcPr>
          <w:p w:rsidR="00D04314" w:rsidRPr="007C393F" w:rsidRDefault="00D63FD9" w:rsidP="007C393F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6 741</w:t>
            </w:r>
          </w:p>
        </w:tc>
        <w:tc>
          <w:tcPr>
            <w:tcW w:w="2109" w:type="dxa"/>
          </w:tcPr>
          <w:p w:rsidR="00D04314" w:rsidRPr="007C393F" w:rsidRDefault="00ED0BE4" w:rsidP="007C393F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+ 1,06</w:t>
            </w:r>
            <w:r w:rsidR="00D04314" w:rsidRPr="007C393F">
              <w:rPr>
                <w:rFonts w:ascii="Arial" w:hAnsi="Arial"/>
                <w:b/>
                <w:sz w:val="22"/>
              </w:rPr>
              <w:t xml:space="preserve"> %</w:t>
            </w:r>
          </w:p>
        </w:tc>
      </w:tr>
    </w:tbl>
    <w:p w:rsidR="00D04314" w:rsidRDefault="00D04314" w:rsidP="00E2077F">
      <w:pPr>
        <w:ind w:left="1418"/>
        <w:jc w:val="both"/>
        <w:rPr>
          <w:rFonts w:ascii="Arial" w:hAnsi="Arial"/>
          <w:sz w:val="22"/>
        </w:rPr>
      </w:pPr>
    </w:p>
    <w:p w:rsidR="00DA3D65" w:rsidRDefault="00DA3D65" w:rsidP="005F5630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Avec un total de </w:t>
      </w:r>
      <w:r w:rsidR="002B2432">
        <w:rPr>
          <w:rFonts w:ascii="Arial" w:hAnsi="Arial"/>
          <w:sz w:val="22"/>
        </w:rPr>
        <w:t>16 533</w:t>
      </w:r>
      <w:r w:rsidR="00273A44">
        <w:rPr>
          <w:rFonts w:ascii="Arial" w:hAnsi="Arial"/>
          <w:sz w:val="22"/>
        </w:rPr>
        <w:t xml:space="preserve"> tonnes, le tonnage recyclé (hors inertes) </w:t>
      </w:r>
      <w:r w:rsidR="00C578ED">
        <w:rPr>
          <w:rFonts w:ascii="Arial" w:hAnsi="Arial"/>
          <w:sz w:val="22"/>
        </w:rPr>
        <w:t>représente</w:t>
      </w:r>
      <w:r>
        <w:rPr>
          <w:rFonts w:ascii="Arial" w:hAnsi="Arial"/>
          <w:sz w:val="22"/>
        </w:rPr>
        <w:t xml:space="preserve"> </w:t>
      </w:r>
      <w:r w:rsidR="00C578ED">
        <w:rPr>
          <w:rFonts w:ascii="Arial" w:hAnsi="Arial"/>
          <w:sz w:val="22"/>
        </w:rPr>
        <w:t>4</w:t>
      </w:r>
      <w:r w:rsidR="00FC1DAE">
        <w:rPr>
          <w:rFonts w:ascii="Arial" w:hAnsi="Arial"/>
          <w:sz w:val="22"/>
        </w:rPr>
        <w:t>3</w:t>
      </w:r>
      <w:r w:rsidR="002B2432">
        <w:rPr>
          <w:rFonts w:ascii="Arial" w:hAnsi="Arial"/>
          <w:sz w:val="22"/>
        </w:rPr>
        <w:t>,72 </w:t>
      </w:r>
      <w:r>
        <w:rPr>
          <w:rFonts w:ascii="Arial" w:hAnsi="Arial"/>
          <w:sz w:val="22"/>
        </w:rPr>
        <w:t>% en 20</w:t>
      </w:r>
      <w:r w:rsidR="00E2077F">
        <w:rPr>
          <w:rFonts w:ascii="Arial" w:hAnsi="Arial"/>
          <w:sz w:val="22"/>
        </w:rPr>
        <w:t>1</w:t>
      </w:r>
      <w:r w:rsidR="002B2432">
        <w:rPr>
          <w:rFonts w:ascii="Arial" w:hAnsi="Arial"/>
          <w:sz w:val="22"/>
        </w:rPr>
        <w:t>4</w:t>
      </w:r>
      <w:r w:rsidR="00C578ED">
        <w:rPr>
          <w:rFonts w:ascii="Arial" w:hAnsi="Arial"/>
          <w:sz w:val="22"/>
        </w:rPr>
        <w:t>.</w:t>
      </w:r>
    </w:p>
    <w:p w:rsidR="00C578ED" w:rsidRDefault="00C578ED" w:rsidP="00DA3D65">
      <w:pPr>
        <w:ind w:left="1418"/>
        <w:jc w:val="both"/>
        <w:rPr>
          <w:rFonts w:ascii="Arial" w:hAnsi="Arial"/>
          <w:sz w:val="22"/>
        </w:rPr>
      </w:pPr>
    </w:p>
    <w:p w:rsidR="00DA3D65" w:rsidRDefault="00DA3D65" w:rsidP="00DA3D65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Pour information, le taux de recyclage était de :</w:t>
      </w:r>
    </w:p>
    <w:p w:rsidR="00DA3D65" w:rsidRDefault="00DA3D65" w:rsidP="00E2077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- 3</w:t>
      </w:r>
      <w:r w:rsidR="00C578ED">
        <w:rPr>
          <w:rFonts w:ascii="Arial" w:hAnsi="Arial"/>
          <w:sz w:val="22"/>
        </w:rPr>
        <w:t>6,5</w:t>
      </w:r>
      <w:r>
        <w:rPr>
          <w:rFonts w:ascii="Arial" w:hAnsi="Arial"/>
          <w:sz w:val="22"/>
        </w:rPr>
        <w:t xml:space="preserve"> % en 200</w:t>
      </w:r>
      <w:r w:rsidR="00E2077F">
        <w:rPr>
          <w:rFonts w:ascii="Arial" w:hAnsi="Arial"/>
          <w:sz w:val="22"/>
        </w:rPr>
        <w:t>9</w:t>
      </w:r>
    </w:p>
    <w:p w:rsidR="00273A44" w:rsidRDefault="00273A44" w:rsidP="00E2077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- 3</w:t>
      </w:r>
      <w:r w:rsidR="00C578ED">
        <w:rPr>
          <w:rFonts w:ascii="Arial" w:hAnsi="Arial"/>
          <w:sz w:val="22"/>
        </w:rPr>
        <w:t>6,6</w:t>
      </w:r>
      <w:r>
        <w:rPr>
          <w:rFonts w:ascii="Arial" w:hAnsi="Arial"/>
          <w:sz w:val="22"/>
        </w:rPr>
        <w:t xml:space="preserve"> % en 2010</w:t>
      </w:r>
    </w:p>
    <w:p w:rsidR="00C578ED" w:rsidRDefault="00FC1DAE" w:rsidP="00E2077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- 36,2 % en 2011</w:t>
      </w:r>
    </w:p>
    <w:p w:rsidR="00FC1DAE" w:rsidRDefault="002B2432" w:rsidP="00E2077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- 42 % en 2012</w:t>
      </w:r>
    </w:p>
    <w:p w:rsidR="002B2432" w:rsidRDefault="002B2432" w:rsidP="00E2077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- 43 % en 2013.</w:t>
      </w:r>
    </w:p>
    <w:p w:rsidR="00DA3D65" w:rsidRDefault="00DA3D65" w:rsidP="00DA3D65">
      <w:pPr>
        <w:ind w:left="1418"/>
        <w:jc w:val="both"/>
        <w:rPr>
          <w:rFonts w:ascii="Arial" w:hAnsi="Arial"/>
          <w:sz w:val="22"/>
        </w:rPr>
      </w:pPr>
    </w:p>
    <w:p w:rsidR="0085351B" w:rsidRDefault="0085351B" w:rsidP="0085351B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 cours de l'année 201</w:t>
      </w:r>
      <w:r w:rsidR="00FB3F24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, une campagne de sensibilisation à la prévention de la production et au tri des déchets a été entreprise :</w:t>
      </w:r>
    </w:p>
    <w:p w:rsidR="0085351B" w:rsidRDefault="00514B76" w:rsidP="0085351B">
      <w:pPr>
        <w:numPr>
          <w:ilvl w:val="0"/>
          <w:numId w:val="2"/>
        </w:numPr>
        <w:spacing w:before="60"/>
        <w:ind w:left="1775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sensibilisation du grand</w:t>
      </w:r>
      <w:r w:rsidR="0085351B">
        <w:rPr>
          <w:rFonts w:ascii="Arial" w:hAnsi="Arial"/>
          <w:sz w:val="22"/>
        </w:rPr>
        <w:t xml:space="preserve"> public lors de diverses manifestations (</w:t>
      </w:r>
      <w:r w:rsidR="00EC6646">
        <w:rPr>
          <w:rFonts w:ascii="Arial" w:hAnsi="Arial"/>
          <w:sz w:val="22"/>
        </w:rPr>
        <w:t>fête des fleurs à Riorges, fête de la famille à Mably, tournoi de football à Mably et Riorges, "les voyages d'Ambierle", les rencontres solidaires, trocs à Riorges et Roanne, téléthon à Villerest</w:t>
      </w:r>
      <w:r w:rsidR="0085351B">
        <w:rPr>
          <w:rFonts w:ascii="Arial" w:hAnsi="Arial"/>
          <w:sz w:val="22"/>
        </w:rPr>
        <w:t>…) ;</w:t>
      </w:r>
    </w:p>
    <w:p w:rsidR="006B4B75" w:rsidRDefault="006B4B75" w:rsidP="0085351B">
      <w:pPr>
        <w:numPr>
          <w:ilvl w:val="0"/>
          <w:numId w:val="2"/>
        </w:numPr>
        <w:spacing w:before="60"/>
        <w:ind w:left="1775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sensibilisation du public scolaire </w:t>
      </w:r>
      <w:r w:rsidR="00EC6646">
        <w:rPr>
          <w:rFonts w:ascii="Arial" w:hAnsi="Arial"/>
          <w:sz w:val="22"/>
        </w:rPr>
        <w:t>: plus de 355 élèves sensibilisés à la prévention des déchets à l'occasion d'animations scolaires, 10 visites de déchèteries réalisées…</w:t>
      </w:r>
      <w:r w:rsidR="009346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;</w:t>
      </w:r>
    </w:p>
    <w:p w:rsidR="0085351B" w:rsidRDefault="0085351B" w:rsidP="0085351B">
      <w:pPr>
        <w:numPr>
          <w:ilvl w:val="0"/>
          <w:numId w:val="2"/>
        </w:numPr>
        <w:spacing w:before="60"/>
        <w:ind w:left="1775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sensibilisation </w:t>
      </w:r>
      <w:r w:rsidR="006B4B75">
        <w:rPr>
          <w:rFonts w:ascii="Arial" w:hAnsi="Arial"/>
          <w:sz w:val="22"/>
        </w:rPr>
        <w:t>des publics spécifiques (</w:t>
      </w:r>
      <w:r w:rsidR="00EC6646">
        <w:rPr>
          <w:rFonts w:ascii="Arial" w:hAnsi="Arial"/>
          <w:sz w:val="22"/>
        </w:rPr>
        <w:t>CFPPA de Perreux, MRF de Saint-Germain</w:t>
      </w:r>
      <w:r w:rsidR="006B4B75">
        <w:rPr>
          <w:rFonts w:ascii="Arial" w:hAnsi="Arial"/>
          <w:sz w:val="22"/>
        </w:rPr>
        <w:t>…</w:t>
      </w:r>
      <w:proofErr w:type="gramStart"/>
      <w:r w:rsidR="00EC6646">
        <w:rPr>
          <w:rFonts w:ascii="Arial" w:hAnsi="Arial"/>
          <w:sz w:val="22"/>
        </w:rPr>
        <w:t>) .</w:t>
      </w:r>
      <w:proofErr w:type="gramEnd"/>
    </w:p>
    <w:p w:rsidR="00EC6646" w:rsidRDefault="00EC6646" w:rsidP="0085351B">
      <w:pPr>
        <w:numPr>
          <w:ilvl w:val="0"/>
          <w:numId w:val="2"/>
        </w:numPr>
        <w:spacing w:before="60"/>
        <w:ind w:left="1775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sensibilisation au tri –actions ciblées– lien aux mairies et organismes en lien avec le logement.</w:t>
      </w:r>
    </w:p>
    <w:p w:rsidR="0085351B" w:rsidRDefault="0085351B" w:rsidP="0085351B">
      <w:pPr>
        <w:ind w:left="1418"/>
        <w:jc w:val="both"/>
        <w:rPr>
          <w:rFonts w:ascii="Arial" w:hAnsi="Arial"/>
          <w:sz w:val="22"/>
        </w:rPr>
      </w:pPr>
    </w:p>
    <w:p w:rsidR="0085351B" w:rsidRDefault="0085351B" w:rsidP="00DA3D65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Des actions emblématiques nationales ont également été menées sur la sensibilisation au composta</w:t>
      </w:r>
      <w:r w:rsidR="006B4B75">
        <w:rPr>
          <w:rFonts w:ascii="Arial" w:hAnsi="Arial"/>
          <w:sz w:val="22"/>
        </w:rPr>
        <w:t>ge domestique, collectif</w:t>
      </w:r>
      <w:r w:rsidR="00EC6646">
        <w:rPr>
          <w:rFonts w:ascii="Arial" w:hAnsi="Arial"/>
          <w:sz w:val="22"/>
        </w:rPr>
        <w:t>.</w:t>
      </w:r>
    </w:p>
    <w:p w:rsidR="00EC6646" w:rsidRDefault="00EC6646" w:rsidP="00DA3D65">
      <w:pPr>
        <w:ind w:left="1418"/>
        <w:jc w:val="both"/>
        <w:rPr>
          <w:rFonts w:ascii="Arial" w:hAnsi="Arial"/>
          <w:sz w:val="22"/>
        </w:rPr>
      </w:pPr>
    </w:p>
    <w:p w:rsidR="00876874" w:rsidRDefault="00876874" w:rsidP="00DA3D65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Une enquête de satisfaction en déchèterie</w:t>
      </w:r>
      <w:r w:rsidR="00206DAC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a été réalisée dont les résultats font ressortir une très bonne impression sur leur fonctionnement (98,22 % des sondés).</w:t>
      </w:r>
    </w:p>
    <w:p w:rsidR="00876874" w:rsidRDefault="00876874" w:rsidP="00DA3D65">
      <w:pPr>
        <w:ind w:left="1418"/>
        <w:jc w:val="both"/>
        <w:rPr>
          <w:rFonts w:ascii="Arial" w:hAnsi="Arial"/>
          <w:sz w:val="22"/>
        </w:rPr>
      </w:pPr>
    </w:p>
    <w:p w:rsidR="00CF5B88" w:rsidRDefault="007B2598" w:rsidP="007B2598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Les objectifs Grenelle consistent en la réduction de la production </w:t>
      </w:r>
      <w:r w:rsidR="00CF5B88">
        <w:rPr>
          <w:rFonts w:ascii="Arial" w:hAnsi="Arial"/>
          <w:sz w:val="22"/>
        </w:rPr>
        <w:t>annuelle d'ordures ménagères résiduelles de 5 kg/</w:t>
      </w:r>
      <w:proofErr w:type="spellStart"/>
      <w:r w:rsidR="00CF5B88">
        <w:rPr>
          <w:rFonts w:ascii="Arial" w:hAnsi="Arial"/>
          <w:sz w:val="22"/>
        </w:rPr>
        <w:t>hab</w:t>
      </w:r>
      <w:proofErr w:type="spellEnd"/>
      <w:r w:rsidR="00CF5B88">
        <w:rPr>
          <w:rFonts w:ascii="Arial" w:hAnsi="Arial"/>
          <w:sz w:val="22"/>
        </w:rPr>
        <w:t>/an pendant 5 ans. Pour 2014, sur la base de 68 451 habitants, la réduction de la production d'ordures ménagères sur le territoire de l'ex Grand Roanne Agglomération est de – 6,9 kg/</w:t>
      </w:r>
      <w:proofErr w:type="spellStart"/>
      <w:r w:rsidR="00CF5B88">
        <w:rPr>
          <w:rFonts w:ascii="Arial" w:hAnsi="Arial"/>
          <w:sz w:val="22"/>
        </w:rPr>
        <w:t>hab</w:t>
      </w:r>
      <w:proofErr w:type="spellEnd"/>
      <w:r w:rsidR="00CF5B88">
        <w:rPr>
          <w:rFonts w:ascii="Arial" w:hAnsi="Arial"/>
          <w:sz w:val="22"/>
        </w:rPr>
        <w:t xml:space="preserve"> en moyenne par an.</w:t>
      </w:r>
    </w:p>
    <w:p w:rsidR="00FC1812" w:rsidRDefault="00FC1812" w:rsidP="00DA3D65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Depuis la signature en 2009 du programme local de prévention de la production de déchets du Grand Roanne, le tonnage d'ordures ménagères + collecte sélective a baissé de </w:t>
      </w:r>
      <w:r w:rsidR="007B2598">
        <w:rPr>
          <w:rFonts w:ascii="Arial" w:hAnsi="Arial"/>
          <w:sz w:val="22"/>
        </w:rPr>
        <w:t>10,4 %</w:t>
      </w:r>
      <w:r>
        <w:rPr>
          <w:rFonts w:ascii="Arial" w:hAnsi="Arial"/>
          <w:sz w:val="22"/>
        </w:rPr>
        <w:t>.</w:t>
      </w:r>
    </w:p>
    <w:p w:rsidR="00CF5B88" w:rsidRDefault="00CF5B88" w:rsidP="00DA3D65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Rappel de l'objectif : - 7 % en 2014.</w:t>
      </w:r>
    </w:p>
    <w:p w:rsidR="00FC1812" w:rsidRDefault="00FC1812" w:rsidP="00DA3D65">
      <w:pPr>
        <w:ind w:left="1418"/>
        <w:jc w:val="both"/>
        <w:rPr>
          <w:rFonts w:ascii="Arial" w:hAnsi="Arial"/>
          <w:sz w:val="22"/>
        </w:rPr>
      </w:pPr>
    </w:p>
    <w:p w:rsidR="00FC1812" w:rsidRDefault="00FC1812" w:rsidP="00DA3D65">
      <w:pPr>
        <w:ind w:left="1418"/>
        <w:jc w:val="both"/>
        <w:rPr>
          <w:rFonts w:ascii="Arial" w:hAnsi="Arial"/>
          <w:sz w:val="22"/>
        </w:rPr>
      </w:pPr>
    </w:p>
    <w:p w:rsidR="00B63C9B" w:rsidRDefault="00B63C9B" w:rsidP="00DA3D65">
      <w:pPr>
        <w:ind w:left="1418"/>
        <w:jc w:val="both"/>
        <w:rPr>
          <w:rFonts w:ascii="Arial" w:hAnsi="Arial"/>
          <w:sz w:val="22"/>
        </w:rPr>
      </w:pPr>
    </w:p>
    <w:p w:rsidR="00B63C9B" w:rsidRDefault="00B63C9B" w:rsidP="00DA3D65">
      <w:pPr>
        <w:ind w:left="1418"/>
        <w:jc w:val="both"/>
        <w:rPr>
          <w:rFonts w:ascii="Arial" w:hAnsi="Arial"/>
          <w:sz w:val="22"/>
        </w:rPr>
      </w:pPr>
    </w:p>
    <w:p w:rsidR="00B63C9B" w:rsidRDefault="00B63C9B" w:rsidP="00DA3D65">
      <w:pPr>
        <w:ind w:left="1418"/>
        <w:jc w:val="both"/>
        <w:rPr>
          <w:rFonts w:ascii="Arial" w:hAnsi="Arial"/>
          <w:sz w:val="22"/>
        </w:rPr>
      </w:pPr>
    </w:p>
    <w:p w:rsidR="00B63C9B" w:rsidRDefault="00B63C9B" w:rsidP="00DA3D65">
      <w:pPr>
        <w:ind w:left="1418"/>
        <w:jc w:val="both"/>
        <w:rPr>
          <w:rFonts w:ascii="Arial" w:hAnsi="Arial"/>
          <w:sz w:val="22"/>
        </w:rPr>
      </w:pPr>
    </w:p>
    <w:p w:rsidR="00B63C9B" w:rsidRDefault="00B63C9B" w:rsidP="00DA3D65">
      <w:pPr>
        <w:ind w:left="1418"/>
        <w:jc w:val="both"/>
        <w:rPr>
          <w:rFonts w:ascii="Arial" w:hAnsi="Arial"/>
          <w:sz w:val="22"/>
        </w:rPr>
      </w:pPr>
    </w:p>
    <w:p w:rsidR="00DA3D65" w:rsidRPr="00301BE8" w:rsidRDefault="00DA3D65" w:rsidP="00DA3D65">
      <w:pPr>
        <w:spacing w:after="120"/>
        <w:ind w:left="1418"/>
        <w:jc w:val="both"/>
        <w:rPr>
          <w:rFonts w:ascii="Arial" w:hAnsi="Arial" w:cs="Arial"/>
          <w:b/>
          <w:bCs/>
          <w:sz w:val="24"/>
          <w:szCs w:val="24"/>
        </w:rPr>
      </w:pPr>
      <w:r w:rsidRPr="00301BE8">
        <w:rPr>
          <w:rFonts w:ascii="Arial" w:hAnsi="Arial" w:cs="Arial"/>
          <w:b/>
          <w:bCs/>
          <w:sz w:val="24"/>
          <w:szCs w:val="24"/>
        </w:rPr>
        <w:t>Eléments financiers</w:t>
      </w:r>
    </w:p>
    <w:p w:rsidR="00C02570" w:rsidRDefault="00C02570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Pour l'année 201</w:t>
      </w:r>
      <w:r w:rsidR="00876874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, les </w:t>
      </w:r>
      <w:r w:rsidR="00B10424">
        <w:rPr>
          <w:rFonts w:ascii="Arial" w:hAnsi="Arial"/>
          <w:sz w:val="22"/>
        </w:rPr>
        <w:t>dépenses</w:t>
      </w:r>
      <w:r>
        <w:rPr>
          <w:rFonts w:ascii="Arial" w:hAnsi="Arial"/>
          <w:sz w:val="22"/>
        </w:rPr>
        <w:t xml:space="preserve"> se sont élevées à </w:t>
      </w:r>
      <w:r w:rsidR="00CF4E14">
        <w:rPr>
          <w:rFonts w:ascii="Arial" w:hAnsi="Arial"/>
          <w:sz w:val="22"/>
        </w:rPr>
        <w:t>1</w:t>
      </w:r>
      <w:r w:rsidR="00876874">
        <w:rPr>
          <w:rFonts w:ascii="Arial" w:hAnsi="Arial"/>
          <w:sz w:val="22"/>
        </w:rPr>
        <w:t>1</w:t>
      </w:r>
      <w:r w:rsidR="00CF4E14">
        <w:rPr>
          <w:rFonts w:ascii="Arial" w:hAnsi="Arial"/>
          <w:sz w:val="22"/>
        </w:rPr>
        <w:t xml:space="preserve"> </w:t>
      </w:r>
      <w:r w:rsidR="00876874">
        <w:rPr>
          <w:rFonts w:ascii="Arial" w:hAnsi="Arial"/>
          <w:sz w:val="22"/>
        </w:rPr>
        <w:t>604</w:t>
      </w:r>
      <w:r w:rsidR="00CF4E14">
        <w:rPr>
          <w:rFonts w:ascii="Arial" w:hAnsi="Arial"/>
          <w:sz w:val="22"/>
        </w:rPr>
        <w:t xml:space="preserve"> </w:t>
      </w:r>
      <w:r w:rsidR="00876874">
        <w:rPr>
          <w:rFonts w:ascii="Arial" w:hAnsi="Arial"/>
          <w:sz w:val="22"/>
        </w:rPr>
        <w:t>190</w:t>
      </w:r>
      <w:r>
        <w:rPr>
          <w:rFonts w:ascii="Arial" w:hAnsi="Arial"/>
          <w:sz w:val="22"/>
        </w:rPr>
        <w:t xml:space="preserve"> € </w:t>
      </w:r>
      <w:r w:rsidR="00876874">
        <w:rPr>
          <w:rFonts w:ascii="Arial" w:hAnsi="Arial"/>
          <w:sz w:val="22"/>
        </w:rPr>
        <w:t>HT.</w:t>
      </w:r>
      <w:r w:rsidR="00B1042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Les </w:t>
      </w:r>
      <w:r w:rsidR="00B10424">
        <w:rPr>
          <w:rFonts w:ascii="Arial" w:hAnsi="Arial"/>
          <w:sz w:val="22"/>
        </w:rPr>
        <w:t>recettes</w:t>
      </w:r>
      <w:r>
        <w:rPr>
          <w:rFonts w:ascii="Arial" w:hAnsi="Arial"/>
          <w:sz w:val="22"/>
        </w:rPr>
        <w:t xml:space="preserve"> se sont </w:t>
      </w:r>
      <w:proofErr w:type="gramStart"/>
      <w:r>
        <w:rPr>
          <w:rFonts w:ascii="Arial" w:hAnsi="Arial"/>
          <w:sz w:val="22"/>
        </w:rPr>
        <w:t>élevés</w:t>
      </w:r>
      <w:proofErr w:type="gramEnd"/>
      <w:r>
        <w:rPr>
          <w:rFonts w:ascii="Arial" w:hAnsi="Arial"/>
          <w:sz w:val="22"/>
        </w:rPr>
        <w:t xml:space="preserve"> à </w:t>
      </w:r>
      <w:r w:rsidR="00B10424">
        <w:rPr>
          <w:rFonts w:ascii="Arial" w:hAnsi="Arial"/>
          <w:sz w:val="22"/>
        </w:rPr>
        <w:t>11 866 656</w:t>
      </w:r>
      <w:r>
        <w:rPr>
          <w:rFonts w:ascii="Arial" w:hAnsi="Arial"/>
          <w:sz w:val="22"/>
        </w:rPr>
        <w:t xml:space="preserve"> € </w:t>
      </w:r>
      <w:r w:rsidR="00B10424">
        <w:rPr>
          <w:rFonts w:ascii="Arial" w:hAnsi="Arial"/>
          <w:sz w:val="22"/>
        </w:rPr>
        <w:t>HT</w:t>
      </w:r>
      <w:r w:rsidR="0096707F">
        <w:rPr>
          <w:rFonts w:ascii="Arial" w:hAnsi="Arial"/>
          <w:sz w:val="22"/>
        </w:rPr>
        <w:t>.</w:t>
      </w:r>
    </w:p>
    <w:p w:rsidR="00C02570" w:rsidRDefault="00C02570">
      <w:pPr>
        <w:ind w:left="1418"/>
        <w:jc w:val="both"/>
        <w:rPr>
          <w:rFonts w:ascii="Arial" w:hAnsi="Arial"/>
          <w:sz w:val="22"/>
        </w:rPr>
      </w:pPr>
    </w:p>
    <w:p w:rsidR="00CF4E14" w:rsidRDefault="00C51D8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redevance d'enlèvement des ordures ménagères (REOM) </w:t>
      </w:r>
      <w:r w:rsidR="007A2517">
        <w:rPr>
          <w:rFonts w:ascii="Arial" w:hAnsi="Arial"/>
          <w:sz w:val="22"/>
        </w:rPr>
        <w:t>a été</w:t>
      </w:r>
      <w:r>
        <w:rPr>
          <w:rFonts w:ascii="Arial" w:hAnsi="Arial"/>
          <w:sz w:val="22"/>
        </w:rPr>
        <w:t xml:space="preserve"> </w:t>
      </w:r>
      <w:r w:rsidR="00CF4E14">
        <w:rPr>
          <w:rFonts w:ascii="Arial" w:hAnsi="Arial"/>
          <w:sz w:val="22"/>
        </w:rPr>
        <w:t xml:space="preserve">mise en place sur le territoire de l'ex communauté de communes du Pays de Perreux et celui du </w:t>
      </w:r>
      <w:r>
        <w:rPr>
          <w:rFonts w:ascii="Arial" w:hAnsi="Arial"/>
          <w:sz w:val="22"/>
        </w:rPr>
        <w:t>Pays de La Pacaudière</w:t>
      </w:r>
      <w:r w:rsidR="00CF4E14">
        <w:rPr>
          <w:rFonts w:ascii="Arial" w:hAnsi="Arial"/>
          <w:sz w:val="22"/>
        </w:rPr>
        <w:t>. Le reste du territoire de Roannais Agglomération est à la taxe d'enlèvement des ordures ménagères (TEOM).</w:t>
      </w:r>
    </w:p>
    <w:p w:rsidR="00CF4E14" w:rsidRDefault="00CF4E14">
      <w:pPr>
        <w:ind w:left="1418"/>
        <w:jc w:val="both"/>
        <w:rPr>
          <w:rFonts w:ascii="Arial" w:hAnsi="Arial"/>
          <w:sz w:val="22"/>
        </w:rPr>
      </w:pPr>
    </w:p>
    <w:p w:rsidR="00CF4E14" w:rsidRPr="0037642A" w:rsidRDefault="00CF4E14">
      <w:pPr>
        <w:ind w:left="1418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La</w:t>
      </w:r>
      <w:r w:rsidRPr="00B10424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REOM</w:t>
      </w:r>
      <w:r w:rsidRPr="00B10424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a</w:t>
      </w:r>
      <w:r w:rsidRPr="00B10424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représenté 8</w:t>
      </w:r>
      <w:r w:rsidR="00B10424">
        <w:rPr>
          <w:rFonts w:ascii="Arial" w:hAnsi="Arial"/>
          <w:sz w:val="22"/>
        </w:rPr>
        <w:t>13</w:t>
      </w:r>
      <w:r w:rsidRPr="00B10424">
        <w:rPr>
          <w:rFonts w:ascii="Arial" w:hAnsi="Arial"/>
          <w:spacing w:val="-20"/>
          <w:sz w:val="22"/>
        </w:rPr>
        <w:t xml:space="preserve"> </w:t>
      </w:r>
      <w:r w:rsidR="00B10424">
        <w:rPr>
          <w:rFonts w:ascii="Arial" w:hAnsi="Arial"/>
          <w:sz w:val="22"/>
        </w:rPr>
        <w:t>607</w:t>
      </w:r>
      <w:r w:rsidRPr="00B10424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€ en 201</w:t>
      </w:r>
      <w:r w:rsidR="00B10424">
        <w:rPr>
          <w:rFonts w:ascii="Arial" w:hAnsi="Arial"/>
          <w:sz w:val="22"/>
        </w:rPr>
        <w:t>4</w:t>
      </w:r>
      <w:r w:rsidR="00B10424" w:rsidRPr="00B10424">
        <w:rPr>
          <w:rFonts w:ascii="Arial" w:hAnsi="Arial"/>
          <w:spacing w:val="-20"/>
          <w:sz w:val="22"/>
        </w:rPr>
        <w:t xml:space="preserve"> </w:t>
      </w:r>
      <w:r w:rsidR="00B10424">
        <w:rPr>
          <w:rFonts w:ascii="Arial" w:hAnsi="Arial"/>
          <w:sz w:val="22"/>
        </w:rPr>
        <w:t>(soit 8</w:t>
      </w:r>
      <w:r w:rsidR="00B10424" w:rsidRPr="00B10424">
        <w:rPr>
          <w:rFonts w:ascii="Arial" w:hAnsi="Arial"/>
          <w:spacing w:val="-20"/>
          <w:sz w:val="22"/>
        </w:rPr>
        <w:t xml:space="preserve"> </w:t>
      </w:r>
      <w:r w:rsidR="00B10424">
        <w:rPr>
          <w:rFonts w:ascii="Arial" w:hAnsi="Arial"/>
          <w:sz w:val="22"/>
        </w:rPr>
        <w:t xml:space="preserve">€/habitant) </w:t>
      </w:r>
      <w:r>
        <w:rPr>
          <w:rFonts w:ascii="Arial" w:hAnsi="Arial"/>
          <w:sz w:val="22"/>
        </w:rPr>
        <w:t>et la</w:t>
      </w:r>
      <w:r w:rsidRPr="00B10424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 xml:space="preserve">TEOM </w:t>
      </w:r>
      <w:r w:rsidR="00B10424">
        <w:rPr>
          <w:rFonts w:ascii="Arial" w:hAnsi="Arial"/>
          <w:sz w:val="22"/>
        </w:rPr>
        <w:t>9</w:t>
      </w:r>
      <w:r w:rsidR="00B10424" w:rsidRPr="00B10424">
        <w:rPr>
          <w:rFonts w:ascii="Arial" w:hAnsi="Arial"/>
          <w:spacing w:val="-20"/>
          <w:sz w:val="22"/>
        </w:rPr>
        <w:t xml:space="preserve"> </w:t>
      </w:r>
      <w:r w:rsidR="00B10424">
        <w:rPr>
          <w:rFonts w:ascii="Arial" w:hAnsi="Arial"/>
          <w:sz w:val="22"/>
        </w:rPr>
        <w:t>198</w:t>
      </w:r>
      <w:r w:rsidR="00B10424" w:rsidRPr="00B10424">
        <w:rPr>
          <w:rFonts w:ascii="Arial" w:hAnsi="Arial"/>
          <w:spacing w:val="-20"/>
          <w:sz w:val="22"/>
        </w:rPr>
        <w:t xml:space="preserve"> </w:t>
      </w:r>
      <w:r w:rsidR="00B10424">
        <w:rPr>
          <w:rFonts w:ascii="Arial" w:hAnsi="Arial"/>
          <w:sz w:val="22"/>
        </w:rPr>
        <w:t>959</w:t>
      </w:r>
      <w:r w:rsidRPr="00B10424">
        <w:rPr>
          <w:rFonts w:ascii="Arial" w:hAnsi="Arial"/>
          <w:spacing w:val="-20"/>
          <w:sz w:val="22"/>
        </w:rPr>
        <w:t xml:space="preserve"> </w:t>
      </w:r>
      <w:r w:rsidR="00B10424">
        <w:rPr>
          <w:rFonts w:ascii="Arial" w:hAnsi="Arial"/>
          <w:sz w:val="22"/>
        </w:rPr>
        <w:t>€ (soit 89 €/habitant).</w:t>
      </w:r>
      <w:r w:rsidR="0037642A">
        <w:rPr>
          <w:rFonts w:ascii="Arial" w:hAnsi="Arial"/>
          <w:b/>
          <w:sz w:val="22"/>
        </w:rPr>
        <w:t>"</w:t>
      </w:r>
    </w:p>
    <w:p w:rsidR="00CF5B88" w:rsidRPr="00B63C9B" w:rsidRDefault="00CF5B88">
      <w:pPr>
        <w:ind w:left="1418"/>
        <w:jc w:val="both"/>
        <w:rPr>
          <w:rFonts w:ascii="Arial" w:hAnsi="Arial"/>
          <w:sz w:val="22"/>
        </w:rPr>
      </w:pPr>
    </w:p>
    <w:p w:rsidR="00B63C9B" w:rsidRPr="00B63C9B" w:rsidRDefault="00B63C9B">
      <w:pPr>
        <w:ind w:left="1418"/>
        <w:jc w:val="both"/>
        <w:rPr>
          <w:rFonts w:ascii="Arial" w:hAnsi="Arial"/>
          <w:sz w:val="22"/>
        </w:rPr>
      </w:pPr>
    </w:p>
    <w:p w:rsidR="007C393F" w:rsidRPr="00B63C9B" w:rsidRDefault="007C393F" w:rsidP="007C393F">
      <w:pPr>
        <w:ind w:left="1418"/>
        <w:jc w:val="both"/>
        <w:rPr>
          <w:rFonts w:ascii="Arial" w:hAnsi="Arial"/>
          <w:sz w:val="22"/>
        </w:rPr>
      </w:pPr>
      <w:r w:rsidRPr="00B63C9B">
        <w:rPr>
          <w:rFonts w:ascii="Arial" w:hAnsi="Arial"/>
          <w:sz w:val="22"/>
        </w:rPr>
        <w:t>Vu la loi du 2 février 1995 dite "loi Barnier" ;</w:t>
      </w:r>
    </w:p>
    <w:p w:rsidR="007C393F" w:rsidRPr="00B63C9B" w:rsidRDefault="007C393F" w:rsidP="007C393F">
      <w:pPr>
        <w:ind w:left="1418"/>
        <w:jc w:val="both"/>
        <w:rPr>
          <w:rFonts w:ascii="Arial" w:hAnsi="Arial"/>
          <w:sz w:val="22"/>
        </w:rPr>
      </w:pPr>
    </w:p>
    <w:p w:rsidR="007C393F" w:rsidRPr="00B63C9B" w:rsidRDefault="007C393F" w:rsidP="007C393F">
      <w:pPr>
        <w:ind w:left="1418"/>
        <w:jc w:val="both"/>
        <w:rPr>
          <w:rFonts w:ascii="Arial" w:hAnsi="Arial"/>
          <w:sz w:val="22"/>
        </w:rPr>
      </w:pPr>
      <w:r w:rsidRPr="00B63C9B">
        <w:rPr>
          <w:rFonts w:ascii="Arial" w:hAnsi="Arial"/>
          <w:sz w:val="22"/>
        </w:rPr>
        <w:t>Vu le Code général des collectivités territoriales et notamment les articles L 2224-5 et L 2225-5 ;</w:t>
      </w:r>
    </w:p>
    <w:p w:rsidR="007C393F" w:rsidRPr="00B63C9B" w:rsidRDefault="007C393F" w:rsidP="007C393F">
      <w:pPr>
        <w:ind w:left="1418"/>
        <w:jc w:val="both"/>
        <w:rPr>
          <w:rFonts w:ascii="Arial" w:hAnsi="Arial"/>
          <w:sz w:val="22"/>
        </w:rPr>
      </w:pPr>
    </w:p>
    <w:p w:rsidR="007C393F" w:rsidRPr="00B63C9B" w:rsidRDefault="007C393F" w:rsidP="007C393F">
      <w:pPr>
        <w:ind w:left="1418"/>
        <w:jc w:val="both"/>
        <w:rPr>
          <w:rFonts w:ascii="Arial" w:hAnsi="Arial"/>
          <w:sz w:val="22"/>
        </w:rPr>
      </w:pPr>
      <w:r w:rsidRPr="00B63C9B">
        <w:rPr>
          <w:rFonts w:ascii="Arial" w:hAnsi="Arial"/>
          <w:sz w:val="22"/>
        </w:rPr>
        <w:t>Le conseil municipal donne acte de la présentation de ce rapport.</w:t>
      </w:r>
    </w:p>
    <w:p w:rsidR="007C393F" w:rsidRPr="00B63C9B" w:rsidRDefault="007C393F">
      <w:pPr>
        <w:ind w:left="1418"/>
        <w:jc w:val="both"/>
        <w:rPr>
          <w:rFonts w:ascii="Arial" w:hAnsi="Arial"/>
          <w:sz w:val="22"/>
        </w:rPr>
      </w:pPr>
    </w:p>
    <w:p w:rsidR="007C393F" w:rsidRPr="00B63C9B" w:rsidRDefault="007C393F">
      <w:pPr>
        <w:ind w:left="1418"/>
        <w:jc w:val="both"/>
        <w:rPr>
          <w:rFonts w:ascii="Arial" w:hAnsi="Arial"/>
          <w:sz w:val="22"/>
        </w:rPr>
      </w:pPr>
    </w:p>
    <w:p w:rsidR="00412CDF" w:rsidRPr="00B63C9B" w:rsidRDefault="00412CDF">
      <w:pPr>
        <w:ind w:left="1418"/>
        <w:jc w:val="both"/>
        <w:rPr>
          <w:rFonts w:ascii="Arial" w:hAnsi="Arial"/>
          <w:sz w:val="22"/>
        </w:rPr>
      </w:pPr>
    </w:p>
    <w:sectPr w:rsidR="00412CDF" w:rsidRPr="00B63C9B" w:rsidSect="006A7A08">
      <w:footerReference w:type="default" r:id="rId7"/>
      <w:footerReference w:type="first" r:id="rId8"/>
      <w:pgSz w:w="11907" w:h="16840"/>
      <w:pgMar w:top="567" w:right="1701" w:bottom="1701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74" w:rsidRDefault="00876874">
      <w:r>
        <w:separator/>
      </w:r>
    </w:p>
  </w:endnote>
  <w:endnote w:type="continuationSeparator" w:id="0">
    <w:p w:rsidR="00876874" w:rsidRDefault="00876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rostyle">
    <w:altName w:val="Arial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74" w:rsidRDefault="00995FBF" w:rsidP="006A7A08">
    <w:pPr>
      <w:pStyle w:val="Pieddepage"/>
      <w:jc w:val="center"/>
    </w:pPr>
    <w:fldSimple w:instr=" PAGE ">
      <w:r w:rsidR="0037642A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74" w:rsidRDefault="00876874" w:rsidP="000B59D0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74" w:rsidRDefault="00876874">
      <w:r>
        <w:separator/>
      </w:r>
    </w:p>
  </w:footnote>
  <w:footnote w:type="continuationSeparator" w:id="0">
    <w:p w:rsidR="00876874" w:rsidRDefault="00876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C8"/>
    <w:multiLevelType w:val="hybridMultilevel"/>
    <w:tmpl w:val="DF36CE8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3894C77"/>
    <w:multiLevelType w:val="hybridMultilevel"/>
    <w:tmpl w:val="B5B42B3E"/>
    <w:lvl w:ilvl="0" w:tplc="063A6142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27E6CF1"/>
    <w:multiLevelType w:val="hybridMultilevel"/>
    <w:tmpl w:val="47D2AB2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8B6119D"/>
    <w:multiLevelType w:val="hybridMultilevel"/>
    <w:tmpl w:val="B97C6354"/>
    <w:lvl w:ilvl="0" w:tplc="A7A4E49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EF86CE5"/>
    <w:multiLevelType w:val="hybridMultilevel"/>
    <w:tmpl w:val="ABF08C0A"/>
    <w:lvl w:ilvl="0" w:tplc="A7A4E490">
      <w:start w:val="1"/>
      <w:numFmt w:val="bullet"/>
      <w:lvlText w:val="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6B42092D"/>
    <w:multiLevelType w:val="hybridMultilevel"/>
    <w:tmpl w:val="63F06870"/>
    <w:lvl w:ilvl="0" w:tplc="C310BA30">
      <w:start w:val="40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oNotTrackMoves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8C3"/>
    <w:rsid w:val="00004451"/>
    <w:rsid w:val="00022369"/>
    <w:rsid w:val="00023752"/>
    <w:rsid w:val="000319AC"/>
    <w:rsid w:val="00047C74"/>
    <w:rsid w:val="000945AB"/>
    <w:rsid w:val="000B59D0"/>
    <w:rsid w:val="000E0D9A"/>
    <w:rsid w:val="000E11EC"/>
    <w:rsid w:val="000F4191"/>
    <w:rsid w:val="00121EC1"/>
    <w:rsid w:val="00140482"/>
    <w:rsid w:val="00161632"/>
    <w:rsid w:val="0016603A"/>
    <w:rsid w:val="001827FB"/>
    <w:rsid w:val="001830E7"/>
    <w:rsid w:val="001A7962"/>
    <w:rsid w:val="001B7EF5"/>
    <w:rsid w:val="001C1FFC"/>
    <w:rsid w:val="001C666E"/>
    <w:rsid w:val="001D6E68"/>
    <w:rsid w:val="001E4DFA"/>
    <w:rsid w:val="001F6566"/>
    <w:rsid w:val="00204643"/>
    <w:rsid w:val="002058C3"/>
    <w:rsid w:val="00206DAC"/>
    <w:rsid w:val="00211802"/>
    <w:rsid w:val="00214983"/>
    <w:rsid w:val="002326A5"/>
    <w:rsid w:val="0023439A"/>
    <w:rsid w:val="00254DDE"/>
    <w:rsid w:val="0025793B"/>
    <w:rsid w:val="00261787"/>
    <w:rsid w:val="002707DD"/>
    <w:rsid w:val="00273A44"/>
    <w:rsid w:val="002B2432"/>
    <w:rsid w:val="002B3F1F"/>
    <w:rsid w:val="002C1D04"/>
    <w:rsid w:val="002E1220"/>
    <w:rsid w:val="00301BE8"/>
    <w:rsid w:val="00343DCC"/>
    <w:rsid w:val="00350F9C"/>
    <w:rsid w:val="00353730"/>
    <w:rsid w:val="00362D97"/>
    <w:rsid w:val="00363C16"/>
    <w:rsid w:val="0037642A"/>
    <w:rsid w:val="00385332"/>
    <w:rsid w:val="003A179C"/>
    <w:rsid w:val="003C02A8"/>
    <w:rsid w:val="003C5088"/>
    <w:rsid w:val="00412CDF"/>
    <w:rsid w:val="004264F6"/>
    <w:rsid w:val="00430A2B"/>
    <w:rsid w:val="004676EB"/>
    <w:rsid w:val="00476578"/>
    <w:rsid w:val="004A2AAD"/>
    <w:rsid w:val="004D233E"/>
    <w:rsid w:val="004E671F"/>
    <w:rsid w:val="005025FD"/>
    <w:rsid w:val="0050569C"/>
    <w:rsid w:val="00513102"/>
    <w:rsid w:val="00514B76"/>
    <w:rsid w:val="00533EF4"/>
    <w:rsid w:val="005373EF"/>
    <w:rsid w:val="00545EE1"/>
    <w:rsid w:val="00547137"/>
    <w:rsid w:val="00555BB0"/>
    <w:rsid w:val="00555D62"/>
    <w:rsid w:val="005A04C3"/>
    <w:rsid w:val="005C2B49"/>
    <w:rsid w:val="005C6CD2"/>
    <w:rsid w:val="005D12F0"/>
    <w:rsid w:val="005E5826"/>
    <w:rsid w:val="005E5994"/>
    <w:rsid w:val="005F0657"/>
    <w:rsid w:val="005F2447"/>
    <w:rsid w:val="005F5630"/>
    <w:rsid w:val="00642E45"/>
    <w:rsid w:val="006654DC"/>
    <w:rsid w:val="006679BB"/>
    <w:rsid w:val="0067004F"/>
    <w:rsid w:val="006A7535"/>
    <w:rsid w:val="006A7A08"/>
    <w:rsid w:val="006B4B75"/>
    <w:rsid w:val="006B5D87"/>
    <w:rsid w:val="006D3223"/>
    <w:rsid w:val="006D3B1D"/>
    <w:rsid w:val="006F339D"/>
    <w:rsid w:val="006F42EB"/>
    <w:rsid w:val="006F715D"/>
    <w:rsid w:val="007257EA"/>
    <w:rsid w:val="00735215"/>
    <w:rsid w:val="00745D66"/>
    <w:rsid w:val="00752646"/>
    <w:rsid w:val="007614D8"/>
    <w:rsid w:val="007716E8"/>
    <w:rsid w:val="00790E11"/>
    <w:rsid w:val="007A2517"/>
    <w:rsid w:val="007B2598"/>
    <w:rsid w:val="007C393F"/>
    <w:rsid w:val="007C5AFF"/>
    <w:rsid w:val="007C63FE"/>
    <w:rsid w:val="007D4902"/>
    <w:rsid w:val="007D6338"/>
    <w:rsid w:val="007D77BA"/>
    <w:rsid w:val="007E262D"/>
    <w:rsid w:val="0080497A"/>
    <w:rsid w:val="00811BB5"/>
    <w:rsid w:val="00816D02"/>
    <w:rsid w:val="008435A0"/>
    <w:rsid w:val="0085351B"/>
    <w:rsid w:val="00863E16"/>
    <w:rsid w:val="00876874"/>
    <w:rsid w:val="00877814"/>
    <w:rsid w:val="00883A4E"/>
    <w:rsid w:val="00884730"/>
    <w:rsid w:val="008A2BE7"/>
    <w:rsid w:val="008A622C"/>
    <w:rsid w:val="008A7A96"/>
    <w:rsid w:val="00901559"/>
    <w:rsid w:val="00913993"/>
    <w:rsid w:val="009272FF"/>
    <w:rsid w:val="00931C2B"/>
    <w:rsid w:val="00934655"/>
    <w:rsid w:val="00935629"/>
    <w:rsid w:val="00962903"/>
    <w:rsid w:val="00963FDE"/>
    <w:rsid w:val="009668AC"/>
    <w:rsid w:val="0096707F"/>
    <w:rsid w:val="009731E9"/>
    <w:rsid w:val="009757BD"/>
    <w:rsid w:val="00995FBF"/>
    <w:rsid w:val="009A068A"/>
    <w:rsid w:val="009A3503"/>
    <w:rsid w:val="009E3AA3"/>
    <w:rsid w:val="009F7C24"/>
    <w:rsid w:val="00A1181B"/>
    <w:rsid w:val="00A30E7B"/>
    <w:rsid w:val="00A4420A"/>
    <w:rsid w:val="00A51A2E"/>
    <w:rsid w:val="00A73656"/>
    <w:rsid w:val="00A77DBA"/>
    <w:rsid w:val="00AA20AB"/>
    <w:rsid w:val="00AA587D"/>
    <w:rsid w:val="00AD2F3A"/>
    <w:rsid w:val="00AE42A6"/>
    <w:rsid w:val="00B10424"/>
    <w:rsid w:val="00B13B0D"/>
    <w:rsid w:val="00B1467E"/>
    <w:rsid w:val="00B16735"/>
    <w:rsid w:val="00B34F5E"/>
    <w:rsid w:val="00B37833"/>
    <w:rsid w:val="00B63C9B"/>
    <w:rsid w:val="00B85C5C"/>
    <w:rsid w:val="00BA0721"/>
    <w:rsid w:val="00BA4E4C"/>
    <w:rsid w:val="00BC3FFA"/>
    <w:rsid w:val="00BF4FBF"/>
    <w:rsid w:val="00C02570"/>
    <w:rsid w:val="00C03A78"/>
    <w:rsid w:val="00C14161"/>
    <w:rsid w:val="00C26202"/>
    <w:rsid w:val="00C33EAF"/>
    <w:rsid w:val="00C3707B"/>
    <w:rsid w:val="00C45DA2"/>
    <w:rsid w:val="00C51D83"/>
    <w:rsid w:val="00C53427"/>
    <w:rsid w:val="00C5608E"/>
    <w:rsid w:val="00C578ED"/>
    <w:rsid w:val="00C7412C"/>
    <w:rsid w:val="00C84F6C"/>
    <w:rsid w:val="00CA0EC5"/>
    <w:rsid w:val="00CB4DDF"/>
    <w:rsid w:val="00CF4E14"/>
    <w:rsid w:val="00CF5B88"/>
    <w:rsid w:val="00D04314"/>
    <w:rsid w:val="00D06B36"/>
    <w:rsid w:val="00D20DF9"/>
    <w:rsid w:val="00D32B03"/>
    <w:rsid w:val="00D533A0"/>
    <w:rsid w:val="00D63FD9"/>
    <w:rsid w:val="00D64BCB"/>
    <w:rsid w:val="00D7254F"/>
    <w:rsid w:val="00DA3D65"/>
    <w:rsid w:val="00DA4D27"/>
    <w:rsid w:val="00DB267E"/>
    <w:rsid w:val="00DB2DD3"/>
    <w:rsid w:val="00DC7736"/>
    <w:rsid w:val="00DD6C48"/>
    <w:rsid w:val="00DE1B8B"/>
    <w:rsid w:val="00DF70DA"/>
    <w:rsid w:val="00E00CAC"/>
    <w:rsid w:val="00E00D12"/>
    <w:rsid w:val="00E11D49"/>
    <w:rsid w:val="00E134C0"/>
    <w:rsid w:val="00E2077F"/>
    <w:rsid w:val="00E37A66"/>
    <w:rsid w:val="00E54656"/>
    <w:rsid w:val="00E630C5"/>
    <w:rsid w:val="00E64336"/>
    <w:rsid w:val="00E67AEC"/>
    <w:rsid w:val="00E973B0"/>
    <w:rsid w:val="00EB3C1B"/>
    <w:rsid w:val="00EC4C24"/>
    <w:rsid w:val="00EC6646"/>
    <w:rsid w:val="00ED0BE4"/>
    <w:rsid w:val="00F106FA"/>
    <w:rsid w:val="00F470BF"/>
    <w:rsid w:val="00F854F0"/>
    <w:rsid w:val="00FB3F24"/>
    <w:rsid w:val="00FB7D09"/>
    <w:rsid w:val="00FC1812"/>
    <w:rsid w:val="00FC1DAE"/>
    <w:rsid w:val="00FD0475"/>
    <w:rsid w:val="00FD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F9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20DF9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vanish/>
      <w:sz w:val="22"/>
      <w:szCs w:val="22"/>
    </w:rPr>
  </w:style>
  <w:style w:type="paragraph" w:styleId="Titre2">
    <w:name w:val="heading 2"/>
    <w:basedOn w:val="Normal"/>
    <w:next w:val="Normal"/>
    <w:qFormat/>
    <w:rsid w:val="00D20DF9"/>
    <w:pPr>
      <w:keepNext/>
      <w:tabs>
        <w:tab w:val="left" w:pos="1276"/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D20DF9"/>
    <w:pPr>
      <w:keepNext/>
      <w:tabs>
        <w:tab w:val="left" w:pos="1276"/>
        <w:tab w:val="left" w:pos="3261"/>
      </w:tabs>
      <w:ind w:left="2268"/>
      <w:outlineLvl w:val="2"/>
    </w:pPr>
    <w:rPr>
      <w:rFonts w:ascii="Univers" w:hAnsi="Univers"/>
      <w:b/>
      <w:bCs/>
      <w:sz w:val="22"/>
      <w:szCs w:val="22"/>
    </w:rPr>
  </w:style>
  <w:style w:type="paragraph" w:styleId="Titre4">
    <w:name w:val="heading 4"/>
    <w:basedOn w:val="Normal"/>
    <w:next w:val="Normal"/>
    <w:qFormat/>
    <w:rsid w:val="00D20DF9"/>
    <w:pPr>
      <w:keepNext/>
      <w:tabs>
        <w:tab w:val="left" w:pos="1276"/>
        <w:tab w:val="left" w:pos="3261"/>
      </w:tabs>
      <w:ind w:left="2269"/>
      <w:jc w:val="center"/>
      <w:outlineLvl w:val="3"/>
    </w:pPr>
    <w:rPr>
      <w:rFonts w:ascii="Univers" w:hAnsi="Univers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D20DF9"/>
    <w:pPr>
      <w:keepNext/>
      <w:spacing w:before="120"/>
      <w:jc w:val="center"/>
      <w:outlineLvl w:val="4"/>
    </w:pPr>
    <w:rPr>
      <w:rFonts w:ascii="Univers" w:hAnsi="Univers"/>
      <w:b/>
      <w:bCs/>
      <w:sz w:val="18"/>
      <w:szCs w:val="18"/>
    </w:rPr>
  </w:style>
  <w:style w:type="paragraph" w:styleId="Titre6">
    <w:name w:val="heading 6"/>
    <w:basedOn w:val="Normal"/>
    <w:next w:val="Normal"/>
    <w:qFormat/>
    <w:rsid w:val="00D20DF9"/>
    <w:pPr>
      <w:keepNext/>
      <w:tabs>
        <w:tab w:val="left" w:pos="1276"/>
        <w:tab w:val="left" w:pos="3261"/>
      </w:tabs>
      <w:ind w:left="2269"/>
      <w:outlineLvl w:val="5"/>
    </w:pPr>
    <w:rPr>
      <w:rFonts w:ascii="Univers" w:hAnsi="Univers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20DF9"/>
    <w:pPr>
      <w:keepNext/>
      <w:jc w:val="right"/>
      <w:outlineLvl w:val="6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D20DF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D20DF9"/>
    <w:pPr>
      <w:tabs>
        <w:tab w:val="center" w:pos="4819"/>
        <w:tab w:val="right" w:pos="9071"/>
      </w:tabs>
    </w:pPr>
  </w:style>
  <w:style w:type="paragraph" w:customStyle="1" w:styleId="Paragraphe">
    <w:name w:val="Paragraphe"/>
    <w:basedOn w:val="Normal"/>
    <w:rsid w:val="00D20DF9"/>
    <w:pPr>
      <w:ind w:firstLine="1276"/>
      <w:jc w:val="both"/>
    </w:pPr>
  </w:style>
  <w:style w:type="paragraph" w:styleId="Retraitcorpsdetexte">
    <w:name w:val="Body Text Indent"/>
    <w:basedOn w:val="Normal"/>
    <w:rsid w:val="00D20DF9"/>
    <w:pPr>
      <w:tabs>
        <w:tab w:val="left" w:pos="1276"/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Retraitcorpsdetexte2">
    <w:name w:val="Body Text Indent 2"/>
    <w:basedOn w:val="Normal"/>
    <w:rsid w:val="00D20DF9"/>
    <w:pPr>
      <w:ind w:left="2268" w:firstLine="1134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D20DF9"/>
    <w:pPr>
      <w:ind w:left="2268"/>
      <w:jc w:val="both"/>
    </w:pPr>
    <w:rPr>
      <w:rFonts w:ascii="Univers" w:hAnsi="Univers"/>
      <w:sz w:val="22"/>
      <w:szCs w:val="22"/>
    </w:rPr>
  </w:style>
  <w:style w:type="character" w:styleId="Marquedecommentaire">
    <w:name w:val="annotation reference"/>
    <w:basedOn w:val="Policepardfaut"/>
    <w:semiHidden/>
    <w:rsid w:val="00D20DF9"/>
    <w:rPr>
      <w:sz w:val="16"/>
      <w:szCs w:val="16"/>
    </w:rPr>
  </w:style>
  <w:style w:type="paragraph" w:styleId="Commentaire">
    <w:name w:val="annotation text"/>
    <w:basedOn w:val="Normal"/>
    <w:semiHidden/>
    <w:rsid w:val="00D20DF9"/>
  </w:style>
  <w:style w:type="paragraph" w:styleId="Corpsdetexte">
    <w:name w:val="Body Text"/>
    <w:basedOn w:val="Normal"/>
    <w:rsid w:val="00D20DF9"/>
    <w:pPr>
      <w:tabs>
        <w:tab w:val="left" w:pos="1418"/>
      </w:tabs>
      <w:spacing w:before="80"/>
      <w:jc w:val="both"/>
    </w:pPr>
    <w:rPr>
      <w:rFonts w:ascii="Tahoma" w:hAnsi="Tahoma" w:cs="Tahoma"/>
      <w:sz w:val="22"/>
      <w:szCs w:val="22"/>
    </w:rPr>
  </w:style>
  <w:style w:type="paragraph" w:styleId="Corpsdetexte2">
    <w:name w:val="Body Text 2"/>
    <w:basedOn w:val="Normal"/>
    <w:rsid w:val="00D20DF9"/>
    <w:pPr>
      <w:jc w:val="both"/>
    </w:pPr>
    <w:rPr>
      <w:rFonts w:ascii="Metrostyle" w:hAnsi="Metrostyle"/>
      <w:sz w:val="24"/>
      <w:szCs w:val="24"/>
    </w:rPr>
  </w:style>
  <w:style w:type="paragraph" w:styleId="Textedebulles">
    <w:name w:val="Balloon Text"/>
    <w:basedOn w:val="Normal"/>
    <w:semiHidden/>
    <w:rsid w:val="006D32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E1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character" w:styleId="Numrodepage">
    <w:name w:val="page number"/>
    <w:basedOn w:val="Policepardfaut"/>
    <w:rsid w:val="00670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 SOCIALE 28.03.1997</vt:lpstr>
    </vt:vector>
  </TitlesOfParts>
  <Company>VILLE de RIORGES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SOCIALE 28.03.1997</dc:title>
  <dc:subject>Budget prévisionnel halte garderie</dc:subject>
  <dc:creator>Secrétariat Général</dc:creator>
  <cp:keywords>halte-garderie, budget prévisionnel, 1997</cp:keywords>
  <cp:lastModifiedBy>marbea</cp:lastModifiedBy>
  <cp:revision>16</cp:revision>
  <cp:lastPrinted>2015-09-25T14:22:00Z</cp:lastPrinted>
  <dcterms:created xsi:type="dcterms:W3CDTF">2015-07-16T13:34:00Z</dcterms:created>
  <dcterms:modified xsi:type="dcterms:W3CDTF">2015-09-25T14:23:00Z</dcterms:modified>
</cp:coreProperties>
</file>