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58" w:rsidRPr="00D8282D" w:rsidRDefault="00DB0B58" w:rsidP="006F7AA0">
      <w:pPr>
        <w:pStyle w:val="Titre1"/>
        <w:ind w:left="567"/>
        <w:rPr>
          <w:rFonts w:ascii="Arial" w:hAnsi="Arial" w:cs="Arial"/>
          <w:sz w:val="28"/>
          <w:szCs w:val="28"/>
        </w:rPr>
      </w:pPr>
      <w:r w:rsidRPr="00D8282D">
        <w:rPr>
          <w:rFonts w:ascii="Arial" w:hAnsi="Arial" w:cs="Arial"/>
          <w:sz w:val="28"/>
          <w:szCs w:val="28"/>
        </w:rPr>
        <w:t>Ville de Riorges</w:t>
      </w:r>
    </w:p>
    <w:p w:rsidR="00DB0B58" w:rsidRPr="00D8282D" w:rsidRDefault="00E4203F" w:rsidP="001B409F">
      <w:pPr>
        <w:pStyle w:val="Titre1"/>
        <w:tabs>
          <w:tab w:val="right" w:pos="9639"/>
        </w:tabs>
        <w:ind w:left="567"/>
        <w:rPr>
          <w:rFonts w:ascii="Arial" w:hAnsi="Arial"/>
        </w:rPr>
      </w:pPr>
      <w:r>
        <w:rPr>
          <w:rFonts w:ascii="Arial" w:hAnsi="Arial"/>
        </w:rPr>
        <w:t>Délibération du c</w:t>
      </w:r>
      <w:r w:rsidR="00AE5287" w:rsidRPr="00D8282D">
        <w:rPr>
          <w:rFonts w:ascii="Arial" w:hAnsi="Arial"/>
        </w:rPr>
        <w:t>onseil</w:t>
      </w:r>
      <w:r w:rsidR="00DB0B58" w:rsidRPr="00D8282D">
        <w:rPr>
          <w:rFonts w:ascii="Arial" w:hAnsi="Arial"/>
        </w:rPr>
        <w:t xml:space="preserve"> municipal du </w:t>
      </w:r>
      <w:r w:rsidR="00B66813">
        <w:rPr>
          <w:rFonts w:ascii="Arial" w:hAnsi="Arial"/>
        </w:rPr>
        <w:t>24 septembre</w:t>
      </w:r>
      <w:r w:rsidR="004417CC" w:rsidRPr="00D8282D">
        <w:rPr>
          <w:rFonts w:ascii="Arial" w:hAnsi="Arial"/>
        </w:rPr>
        <w:t xml:space="preserve"> 2015</w:t>
      </w:r>
      <w:r w:rsidR="00DB0B58" w:rsidRPr="00D8282D">
        <w:rPr>
          <w:rFonts w:ascii="Arial" w:hAnsi="Arial"/>
        </w:rPr>
        <w:tab/>
      </w:r>
      <w:r w:rsidR="009B5AF5">
        <w:rPr>
          <w:rFonts w:ascii="Arial" w:hAnsi="Arial"/>
        </w:rPr>
        <w:t>5.1</w:t>
      </w:r>
    </w:p>
    <w:p w:rsidR="00D34E51" w:rsidRPr="00D8282D" w:rsidRDefault="00D34E51">
      <w:pPr>
        <w:tabs>
          <w:tab w:val="left" w:pos="1276"/>
          <w:tab w:val="left" w:pos="3261"/>
          <w:tab w:val="left" w:pos="7230"/>
        </w:tabs>
        <w:ind w:left="2268"/>
        <w:jc w:val="center"/>
        <w:rPr>
          <w:rFonts w:ascii="Arial" w:hAnsi="Arial"/>
          <w:b/>
          <w:sz w:val="22"/>
        </w:rPr>
      </w:pPr>
    </w:p>
    <w:p w:rsidR="00801284" w:rsidRDefault="00801284">
      <w:pPr>
        <w:tabs>
          <w:tab w:val="left" w:pos="1276"/>
          <w:tab w:val="left" w:pos="3261"/>
          <w:tab w:val="left" w:pos="7230"/>
        </w:tabs>
        <w:ind w:left="2268"/>
        <w:jc w:val="center"/>
        <w:rPr>
          <w:rFonts w:ascii="Arial" w:hAnsi="Arial"/>
          <w:b/>
          <w:sz w:val="22"/>
        </w:rPr>
      </w:pPr>
    </w:p>
    <w:p w:rsidR="00CC4406" w:rsidRPr="00D8282D" w:rsidRDefault="00CC4406">
      <w:pPr>
        <w:tabs>
          <w:tab w:val="left" w:pos="1276"/>
          <w:tab w:val="left" w:pos="3261"/>
          <w:tab w:val="left" w:pos="7230"/>
        </w:tabs>
        <w:ind w:left="2268"/>
        <w:jc w:val="center"/>
        <w:rPr>
          <w:rFonts w:ascii="Arial" w:hAnsi="Arial"/>
          <w:b/>
          <w:sz w:val="22"/>
        </w:rPr>
      </w:pPr>
    </w:p>
    <w:p w:rsidR="00D34E51" w:rsidRPr="00D8282D" w:rsidRDefault="00061958">
      <w:pPr>
        <w:pStyle w:val="Titre3"/>
        <w:rPr>
          <w:rFonts w:ascii="Arial" w:hAnsi="Arial" w:cs="Arial"/>
          <w:sz w:val="24"/>
          <w:szCs w:val="24"/>
        </w:rPr>
      </w:pPr>
      <w:r w:rsidRPr="00D8282D">
        <w:rPr>
          <w:rFonts w:ascii="Arial" w:hAnsi="Arial" w:cs="Arial"/>
          <w:sz w:val="24"/>
          <w:szCs w:val="24"/>
        </w:rPr>
        <w:t>ACTION SOCIALE-SANTE-JEUNESSE</w:t>
      </w:r>
    </w:p>
    <w:p w:rsidR="00D34E51" w:rsidRPr="00D8282D" w:rsidRDefault="00D34E51">
      <w:pPr>
        <w:tabs>
          <w:tab w:val="left" w:pos="1276"/>
          <w:tab w:val="left" w:pos="3261"/>
        </w:tabs>
        <w:ind w:left="2269"/>
        <w:jc w:val="right"/>
        <w:rPr>
          <w:rFonts w:ascii="Arial" w:hAnsi="Arial"/>
          <w:b/>
          <w:sz w:val="22"/>
        </w:rPr>
      </w:pPr>
    </w:p>
    <w:p w:rsidR="00B66813" w:rsidRDefault="00B66813" w:rsidP="00580F52">
      <w:pPr>
        <w:jc w:val="right"/>
        <w:rPr>
          <w:rFonts w:ascii="Arial" w:hAnsi="Arial"/>
          <w:b/>
          <w:sz w:val="22"/>
          <w:szCs w:val="24"/>
          <w:lang w:eastAsia="en-US"/>
        </w:rPr>
      </w:pPr>
      <w:r>
        <w:rPr>
          <w:rFonts w:ascii="Arial" w:hAnsi="Arial"/>
          <w:b/>
          <w:sz w:val="22"/>
          <w:szCs w:val="24"/>
          <w:lang w:eastAsia="en-US"/>
        </w:rPr>
        <w:t>ACTUALISATION DE LA REMUNERATION</w:t>
      </w:r>
    </w:p>
    <w:p w:rsidR="00B66813" w:rsidRDefault="00B66813" w:rsidP="00580F52">
      <w:pPr>
        <w:jc w:val="right"/>
        <w:rPr>
          <w:rFonts w:ascii="Arial" w:hAnsi="Arial"/>
          <w:b/>
          <w:sz w:val="22"/>
          <w:szCs w:val="24"/>
          <w:lang w:eastAsia="en-US"/>
        </w:rPr>
      </w:pPr>
      <w:r>
        <w:rPr>
          <w:rFonts w:ascii="Arial" w:hAnsi="Arial"/>
          <w:b/>
          <w:sz w:val="22"/>
          <w:szCs w:val="24"/>
          <w:lang w:eastAsia="en-US"/>
        </w:rPr>
        <w:t>DES INTERVENANTS EMPLOYES DANS LE CADRE</w:t>
      </w:r>
    </w:p>
    <w:p w:rsidR="00580F52" w:rsidRPr="00D8282D" w:rsidRDefault="00B66813" w:rsidP="00580F52">
      <w:pPr>
        <w:jc w:val="right"/>
        <w:rPr>
          <w:rFonts w:ascii="Arial" w:hAnsi="Arial"/>
          <w:b/>
          <w:sz w:val="22"/>
          <w:szCs w:val="24"/>
          <w:lang w:eastAsia="en-US"/>
        </w:rPr>
      </w:pPr>
      <w:r>
        <w:rPr>
          <w:rFonts w:ascii="Arial" w:hAnsi="Arial"/>
          <w:b/>
          <w:sz w:val="22"/>
          <w:szCs w:val="24"/>
          <w:lang w:eastAsia="en-US"/>
        </w:rPr>
        <w:t>DU PROJET EDUCATIF TERRITORIAL</w:t>
      </w:r>
    </w:p>
    <w:p w:rsidR="00580F52" w:rsidRPr="00D8282D" w:rsidRDefault="00580F52" w:rsidP="00936DD3">
      <w:pPr>
        <w:ind w:left="1418"/>
        <w:jc w:val="both"/>
        <w:rPr>
          <w:rFonts w:ascii="Arial" w:hAnsi="Arial"/>
          <w:sz w:val="22"/>
        </w:rPr>
      </w:pPr>
    </w:p>
    <w:p w:rsidR="00CC4406" w:rsidRDefault="00CC4406" w:rsidP="00936DD3">
      <w:pPr>
        <w:ind w:left="1418"/>
        <w:jc w:val="both"/>
        <w:rPr>
          <w:rFonts w:ascii="Arial" w:hAnsi="Arial"/>
          <w:sz w:val="22"/>
        </w:rPr>
      </w:pPr>
    </w:p>
    <w:p w:rsidR="00E4203F" w:rsidRDefault="00E4203F" w:rsidP="00936DD3">
      <w:pPr>
        <w:ind w:left="1418"/>
        <w:jc w:val="both"/>
        <w:rPr>
          <w:rFonts w:ascii="Arial" w:hAnsi="Arial"/>
          <w:sz w:val="22"/>
        </w:rPr>
      </w:pPr>
    </w:p>
    <w:p w:rsidR="00E4203F" w:rsidRDefault="00E4203F" w:rsidP="00936DD3">
      <w:pPr>
        <w:ind w:left="1418"/>
        <w:jc w:val="both"/>
        <w:rPr>
          <w:rFonts w:ascii="Arial" w:hAnsi="Arial"/>
          <w:sz w:val="22"/>
        </w:rPr>
      </w:pPr>
    </w:p>
    <w:p w:rsidR="00CC4406" w:rsidRDefault="00CC4406" w:rsidP="00936DD3">
      <w:pPr>
        <w:ind w:left="1418"/>
        <w:jc w:val="both"/>
        <w:rPr>
          <w:rFonts w:ascii="Arial" w:hAnsi="Arial"/>
          <w:sz w:val="22"/>
        </w:rPr>
      </w:pPr>
    </w:p>
    <w:p w:rsidR="00E4203F" w:rsidRDefault="00E4203F" w:rsidP="00211339">
      <w:pPr>
        <w:ind w:left="1418"/>
        <w:jc w:val="both"/>
        <w:rPr>
          <w:rFonts w:ascii="Arial" w:hAnsi="Arial"/>
          <w:sz w:val="22"/>
        </w:rPr>
      </w:pPr>
      <w:r>
        <w:rPr>
          <w:rFonts w:ascii="Arial" w:hAnsi="Arial"/>
          <w:sz w:val="22"/>
        </w:rPr>
        <w:t>Martine SCHMÜCK, première adjointe, déléguée à l'action sociale, la santé et la jeunesse, expose à l'assemblée :</w:t>
      </w:r>
    </w:p>
    <w:p w:rsidR="00CC4406" w:rsidRDefault="00CC4406" w:rsidP="00936DD3">
      <w:pPr>
        <w:ind w:left="1418"/>
        <w:jc w:val="both"/>
        <w:rPr>
          <w:rFonts w:ascii="Arial" w:hAnsi="Arial"/>
          <w:sz w:val="22"/>
        </w:rPr>
      </w:pPr>
    </w:p>
    <w:p w:rsidR="00C00239" w:rsidRDefault="00E4203F" w:rsidP="00C00239">
      <w:pPr>
        <w:ind w:left="1418"/>
        <w:jc w:val="both"/>
        <w:rPr>
          <w:rFonts w:ascii="Arial" w:hAnsi="Arial" w:cs="Arial"/>
          <w:iCs/>
          <w:sz w:val="22"/>
          <w:szCs w:val="22"/>
        </w:rPr>
      </w:pPr>
      <w:r>
        <w:rPr>
          <w:rFonts w:ascii="Arial" w:hAnsi="Arial" w:cs="Arial"/>
          <w:b/>
          <w:iCs/>
          <w:sz w:val="22"/>
          <w:szCs w:val="22"/>
        </w:rPr>
        <w:t>"</w:t>
      </w:r>
      <w:r w:rsidR="00C00239" w:rsidRPr="00C00239">
        <w:rPr>
          <w:rFonts w:ascii="Arial" w:hAnsi="Arial" w:cs="Arial"/>
          <w:iCs/>
          <w:sz w:val="22"/>
          <w:szCs w:val="22"/>
        </w:rPr>
        <w:t>A la suite de la réforme des rythmes scolaires mise en place à Riorges à la rentrée de septembre 2013, la commune s’est dotée d’un pro</w:t>
      </w:r>
      <w:r w:rsidR="00C00239">
        <w:rPr>
          <w:rFonts w:ascii="Arial" w:hAnsi="Arial" w:cs="Arial"/>
          <w:iCs/>
          <w:sz w:val="22"/>
          <w:szCs w:val="22"/>
        </w:rPr>
        <w:t>jet éducatif territorial (</w:t>
      </w:r>
      <w:proofErr w:type="spellStart"/>
      <w:r w:rsidR="00C00239">
        <w:rPr>
          <w:rFonts w:ascii="Arial" w:hAnsi="Arial" w:cs="Arial"/>
          <w:iCs/>
          <w:sz w:val="22"/>
          <w:szCs w:val="22"/>
        </w:rPr>
        <w:t>PEdT</w:t>
      </w:r>
      <w:proofErr w:type="spellEnd"/>
      <w:r w:rsidR="00C00239">
        <w:rPr>
          <w:rFonts w:ascii="Arial" w:hAnsi="Arial" w:cs="Arial"/>
          <w:iCs/>
          <w:sz w:val="22"/>
          <w:szCs w:val="22"/>
        </w:rPr>
        <w:t>)</w:t>
      </w:r>
      <w:r w:rsidR="00C00239" w:rsidRPr="00C00239">
        <w:rPr>
          <w:rFonts w:ascii="Arial" w:hAnsi="Arial" w:cs="Arial"/>
          <w:iCs/>
          <w:sz w:val="22"/>
          <w:szCs w:val="22"/>
        </w:rPr>
        <w:t xml:space="preserve"> approuvé par délibération du conseil municipal du 6 mars 2014, et qui venait s’inscrire en continuité du contrat éducatif local (CEL) existant préalablement.</w:t>
      </w:r>
    </w:p>
    <w:p w:rsidR="00C00239" w:rsidRPr="00C00239" w:rsidRDefault="00C00239" w:rsidP="00C00239">
      <w:pPr>
        <w:ind w:left="1418"/>
        <w:jc w:val="both"/>
        <w:rPr>
          <w:rFonts w:ascii="Arial" w:hAnsi="Arial" w:cs="Arial"/>
          <w:iCs/>
          <w:sz w:val="22"/>
          <w:szCs w:val="22"/>
        </w:rPr>
      </w:pPr>
    </w:p>
    <w:p w:rsidR="00C00239" w:rsidRDefault="00C00239" w:rsidP="00C00239">
      <w:pPr>
        <w:ind w:left="1418"/>
        <w:jc w:val="both"/>
        <w:rPr>
          <w:rFonts w:ascii="Arial" w:hAnsi="Arial" w:cs="Arial"/>
          <w:iCs/>
          <w:sz w:val="22"/>
          <w:szCs w:val="22"/>
        </w:rPr>
      </w:pPr>
      <w:r w:rsidRPr="00C00239">
        <w:rPr>
          <w:rFonts w:ascii="Arial" w:hAnsi="Arial" w:cs="Arial"/>
          <w:iCs/>
          <w:sz w:val="22"/>
          <w:szCs w:val="22"/>
        </w:rPr>
        <w:t xml:space="preserve">Les animateurs qui interviennent dans l’encadrement des activités périscolaires après la classe sont rémunérés sur la base de la vacation dite </w:t>
      </w:r>
      <w:r>
        <w:rPr>
          <w:rFonts w:ascii="Arial" w:hAnsi="Arial" w:cs="Arial"/>
          <w:iCs/>
          <w:sz w:val="22"/>
          <w:szCs w:val="22"/>
        </w:rPr>
        <w:t>"spécialisée", qui avait été instituée</w:t>
      </w:r>
      <w:r w:rsidRPr="00C00239">
        <w:rPr>
          <w:rFonts w:ascii="Arial" w:hAnsi="Arial" w:cs="Arial"/>
          <w:iCs/>
          <w:sz w:val="22"/>
          <w:szCs w:val="22"/>
        </w:rPr>
        <w:t xml:space="preserve"> dans le cadre du CEL et dont la dernière revalorisation avait été approuvée par délibération du conseil municipal du 12 juillet 2010.</w:t>
      </w:r>
    </w:p>
    <w:p w:rsidR="00C00239" w:rsidRPr="00C00239" w:rsidRDefault="00C00239" w:rsidP="00C00239">
      <w:pPr>
        <w:ind w:left="1418"/>
        <w:jc w:val="both"/>
        <w:rPr>
          <w:rFonts w:ascii="Arial" w:hAnsi="Arial" w:cs="Arial"/>
          <w:iCs/>
          <w:sz w:val="22"/>
          <w:szCs w:val="22"/>
        </w:rPr>
      </w:pPr>
    </w:p>
    <w:p w:rsidR="00C00239" w:rsidRDefault="00C00239" w:rsidP="00C00239">
      <w:pPr>
        <w:ind w:left="1418"/>
        <w:jc w:val="both"/>
        <w:rPr>
          <w:rFonts w:ascii="Arial" w:hAnsi="Arial" w:cs="Arial"/>
          <w:iCs/>
          <w:sz w:val="22"/>
          <w:szCs w:val="22"/>
        </w:rPr>
      </w:pPr>
      <w:r w:rsidRPr="00C00239">
        <w:rPr>
          <w:rFonts w:ascii="Arial" w:hAnsi="Arial" w:cs="Arial"/>
          <w:iCs/>
          <w:sz w:val="22"/>
          <w:szCs w:val="22"/>
        </w:rPr>
        <w:t>L’application généralisée de la réforme et l’organisation d’activités adaptées exigent une qualification affirmée et croissante des intervenants. De plus, sur</w:t>
      </w:r>
      <w:r w:rsidR="00391DDF">
        <w:rPr>
          <w:rFonts w:ascii="Arial" w:hAnsi="Arial" w:cs="Arial"/>
          <w:iCs/>
          <w:sz w:val="22"/>
          <w:szCs w:val="22"/>
        </w:rPr>
        <w:t xml:space="preserve"> une</w:t>
      </w:r>
      <w:r w:rsidRPr="00C00239">
        <w:rPr>
          <w:rFonts w:ascii="Arial" w:hAnsi="Arial" w:cs="Arial"/>
          <w:iCs/>
          <w:sz w:val="22"/>
          <w:szCs w:val="22"/>
        </w:rPr>
        <w:t xml:space="preserve"> longue période, il est à noter que le montant de ces vacations est loin d’avoir suivi l’évolution du coût de la vie.</w:t>
      </w:r>
    </w:p>
    <w:p w:rsidR="00C00239" w:rsidRPr="00C00239" w:rsidRDefault="00C00239" w:rsidP="00C00239">
      <w:pPr>
        <w:ind w:left="1418"/>
        <w:jc w:val="both"/>
        <w:rPr>
          <w:rFonts w:ascii="Arial" w:hAnsi="Arial" w:cs="Arial"/>
          <w:iCs/>
          <w:sz w:val="22"/>
          <w:szCs w:val="22"/>
        </w:rPr>
      </w:pPr>
    </w:p>
    <w:p w:rsidR="00C00239" w:rsidRPr="00C00239" w:rsidRDefault="00C00239" w:rsidP="00C00239">
      <w:pPr>
        <w:ind w:left="1418"/>
        <w:jc w:val="both"/>
        <w:rPr>
          <w:rFonts w:ascii="Arial" w:hAnsi="Arial" w:cs="Arial"/>
          <w:iCs/>
          <w:sz w:val="22"/>
          <w:szCs w:val="22"/>
        </w:rPr>
      </w:pPr>
      <w:r w:rsidRPr="00C00239">
        <w:rPr>
          <w:rFonts w:ascii="Arial" w:hAnsi="Arial" w:cs="Arial"/>
          <w:iCs/>
          <w:sz w:val="22"/>
          <w:szCs w:val="22"/>
        </w:rPr>
        <w:t xml:space="preserve">Aussi est-il proposé d’actualiser de manière significative le montant de ces vacations, en </w:t>
      </w:r>
      <w:proofErr w:type="gramStart"/>
      <w:r w:rsidRPr="00C00239">
        <w:rPr>
          <w:rFonts w:ascii="Arial" w:hAnsi="Arial" w:cs="Arial"/>
          <w:iCs/>
          <w:sz w:val="22"/>
          <w:szCs w:val="22"/>
        </w:rPr>
        <w:t>les portant</w:t>
      </w:r>
      <w:proofErr w:type="gramEnd"/>
      <w:r w:rsidRPr="00C00239">
        <w:rPr>
          <w:rFonts w:ascii="Arial" w:hAnsi="Arial" w:cs="Arial"/>
          <w:iCs/>
          <w:sz w:val="22"/>
          <w:szCs w:val="22"/>
        </w:rPr>
        <w:t xml:space="preserve"> à 19 € brut, hors congés payés.</w:t>
      </w:r>
    </w:p>
    <w:p w:rsidR="00C00239" w:rsidRPr="00C00239" w:rsidRDefault="00C00239" w:rsidP="00C00239">
      <w:pPr>
        <w:ind w:left="1418"/>
        <w:jc w:val="both"/>
        <w:rPr>
          <w:rFonts w:ascii="Arial" w:hAnsi="Arial" w:cs="Arial"/>
          <w:iCs/>
          <w:sz w:val="22"/>
          <w:szCs w:val="22"/>
        </w:rPr>
      </w:pPr>
    </w:p>
    <w:p w:rsidR="00C00239" w:rsidRPr="00C00239" w:rsidRDefault="00C00239" w:rsidP="00C00239">
      <w:pPr>
        <w:ind w:left="1418"/>
        <w:jc w:val="both"/>
        <w:rPr>
          <w:rFonts w:ascii="Arial" w:hAnsi="Arial" w:cs="Arial"/>
          <w:iCs/>
          <w:sz w:val="22"/>
          <w:szCs w:val="22"/>
        </w:rPr>
      </w:pPr>
      <w:r w:rsidRPr="00C00239">
        <w:rPr>
          <w:rFonts w:ascii="Arial" w:hAnsi="Arial" w:cs="Arial"/>
          <w:iCs/>
          <w:sz w:val="22"/>
          <w:szCs w:val="22"/>
        </w:rPr>
        <w:t>Par ailleurs, pour tenir compte des compétences et savoir-être nécessaires pour la prise en charge des enfants et l’organisation d’animations pendant le temps méridien, il est proposé de créer une vacation, dite intermédiaire, d’un montant de 14,15 € brut, pour les personnels recrutés sur ce temps d’accueil spécifique.</w:t>
      </w:r>
    </w:p>
    <w:p w:rsidR="00C00239" w:rsidRPr="00C00239" w:rsidRDefault="00C00239" w:rsidP="00C00239">
      <w:pPr>
        <w:ind w:left="1418"/>
        <w:jc w:val="both"/>
        <w:rPr>
          <w:rFonts w:ascii="Arial" w:hAnsi="Arial" w:cs="Arial"/>
          <w:iCs/>
          <w:sz w:val="22"/>
          <w:szCs w:val="22"/>
        </w:rPr>
      </w:pPr>
    </w:p>
    <w:p w:rsidR="00C00239" w:rsidRPr="00C00239" w:rsidRDefault="00C00239" w:rsidP="00C00239">
      <w:pPr>
        <w:ind w:left="1418"/>
        <w:jc w:val="both"/>
        <w:rPr>
          <w:rFonts w:ascii="Arial" w:hAnsi="Arial" w:cs="Arial"/>
          <w:iCs/>
          <w:sz w:val="22"/>
          <w:szCs w:val="22"/>
        </w:rPr>
      </w:pPr>
      <w:r w:rsidRPr="00C00239">
        <w:rPr>
          <w:rFonts w:ascii="Arial" w:hAnsi="Arial" w:cs="Arial"/>
          <w:iCs/>
          <w:sz w:val="22"/>
          <w:szCs w:val="22"/>
        </w:rPr>
        <w:t>Enfin, considérant que les autres temps d’encadrement des enfants (renfort garderie par exemple) nécessitent de moindres qualifications, il est proposé de maintenir à son niveau actuel le montant de la vacation dite de base.</w:t>
      </w:r>
    </w:p>
    <w:p w:rsidR="00C00239" w:rsidRPr="00C00239" w:rsidRDefault="00C00239" w:rsidP="00C00239">
      <w:pPr>
        <w:ind w:left="1418"/>
        <w:jc w:val="both"/>
        <w:rPr>
          <w:rFonts w:ascii="Arial" w:hAnsi="Arial" w:cs="Arial"/>
          <w:iCs/>
          <w:sz w:val="22"/>
          <w:szCs w:val="22"/>
        </w:rPr>
      </w:pPr>
    </w:p>
    <w:p w:rsidR="00C00239" w:rsidRPr="00C00239" w:rsidRDefault="00C00239" w:rsidP="00C00239">
      <w:pPr>
        <w:ind w:left="1418"/>
        <w:jc w:val="both"/>
        <w:rPr>
          <w:rFonts w:ascii="Arial" w:hAnsi="Arial" w:cs="Arial"/>
          <w:iCs/>
          <w:sz w:val="22"/>
          <w:szCs w:val="22"/>
        </w:rPr>
      </w:pPr>
      <w:r w:rsidRPr="00C00239">
        <w:rPr>
          <w:rFonts w:ascii="Arial" w:hAnsi="Arial" w:cs="Arial"/>
          <w:iCs/>
          <w:sz w:val="22"/>
          <w:szCs w:val="22"/>
        </w:rPr>
        <w:t>Conformément à une règle qui avait été instituée par délibération du 7 juillet 2005, il est rappelé que l’ensemble de ces vacations pourront être revalorisées par la suite sur la base de l’augmentation annuelle de l’indice de base de rémunération de la fonction publique.</w:t>
      </w:r>
    </w:p>
    <w:p w:rsidR="00C00239" w:rsidRPr="00C00239" w:rsidRDefault="00C00239" w:rsidP="00C00239">
      <w:pPr>
        <w:ind w:left="1418"/>
        <w:jc w:val="both"/>
        <w:rPr>
          <w:rFonts w:ascii="Arial" w:hAnsi="Arial" w:cs="Arial"/>
          <w:iCs/>
          <w:sz w:val="22"/>
          <w:szCs w:val="22"/>
        </w:rPr>
      </w:pPr>
    </w:p>
    <w:p w:rsidR="00C00239" w:rsidRPr="00F249AE" w:rsidRDefault="00C00239" w:rsidP="00C00239">
      <w:pPr>
        <w:ind w:left="1418"/>
        <w:jc w:val="both"/>
        <w:rPr>
          <w:rFonts w:ascii="Arial" w:hAnsi="Arial" w:cs="Arial"/>
          <w:b/>
          <w:iCs/>
          <w:sz w:val="22"/>
          <w:szCs w:val="22"/>
        </w:rPr>
      </w:pPr>
      <w:r w:rsidRPr="00C00239">
        <w:rPr>
          <w:rFonts w:ascii="Arial" w:hAnsi="Arial" w:cs="Arial"/>
          <w:iCs/>
          <w:sz w:val="22"/>
          <w:szCs w:val="22"/>
        </w:rPr>
        <w:t>Enfin, conformément à la délibération du 12 juillet 2006 qui avait créé une vacation pour les intervenants culturels, il est rappelé que la vacation dite "spécialisée" sert de base pour la rémunération de ces intervenants culturels.</w:t>
      </w:r>
      <w:r w:rsidR="00F249AE">
        <w:rPr>
          <w:rFonts w:ascii="Arial" w:hAnsi="Arial" w:cs="Arial"/>
          <w:b/>
          <w:iCs/>
          <w:sz w:val="22"/>
          <w:szCs w:val="22"/>
        </w:rPr>
        <w:t>"</w:t>
      </w:r>
    </w:p>
    <w:p w:rsidR="00C00239" w:rsidRDefault="00C00239" w:rsidP="00C00239">
      <w:pPr>
        <w:ind w:left="1418"/>
        <w:jc w:val="both"/>
        <w:rPr>
          <w:rFonts w:ascii="Arial" w:hAnsi="Arial" w:cs="Arial"/>
          <w:iCs/>
          <w:sz w:val="22"/>
          <w:szCs w:val="22"/>
        </w:rPr>
      </w:pPr>
    </w:p>
    <w:p w:rsidR="00C00239" w:rsidRDefault="00C00239" w:rsidP="00C00239">
      <w:pPr>
        <w:ind w:left="1418"/>
        <w:jc w:val="both"/>
        <w:rPr>
          <w:rFonts w:ascii="Arial" w:hAnsi="Arial" w:cs="Arial"/>
          <w:iCs/>
          <w:sz w:val="22"/>
          <w:szCs w:val="22"/>
        </w:rPr>
      </w:pPr>
    </w:p>
    <w:p w:rsidR="00C00239" w:rsidRDefault="00C00239" w:rsidP="00C00239">
      <w:pPr>
        <w:ind w:left="1418"/>
        <w:jc w:val="both"/>
        <w:rPr>
          <w:rFonts w:ascii="Arial" w:hAnsi="Arial" w:cs="Arial"/>
          <w:iCs/>
          <w:sz w:val="22"/>
          <w:szCs w:val="22"/>
        </w:rPr>
      </w:pPr>
    </w:p>
    <w:p w:rsidR="00C00239" w:rsidRDefault="00C00239" w:rsidP="00C00239">
      <w:pPr>
        <w:ind w:left="1418"/>
        <w:jc w:val="both"/>
        <w:rPr>
          <w:rFonts w:ascii="Arial" w:hAnsi="Arial" w:cs="Arial"/>
          <w:iCs/>
          <w:sz w:val="22"/>
          <w:szCs w:val="22"/>
        </w:rPr>
      </w:pPr>
    </w:p>
    <w:p w:rsidR="00C00239" w:rsidRDefault="00C00239" w:rsidP="00C00239">
      <w:pPr>
        <w:ind w:left="1418"/>
        <w:jc w:val="both"/>
        <w:rPr>
          <w:rFonts w:ascii="Arial" w:hAnsi="Arial" w:cs="Arial"/>
          <w:iCs/>
          <w:sz w:val="22"/>
          <w:szCs w:val="22"/>
        </w:rPr>
      </w:pPr>
    </w:p>
    <w:p w:rsidR="00E4203F" w:rsidRDefault="00E4203F" w:rsidP="0015752D">
      <w:pPr>
        <w:ind w:left="1418"/>
        <w:jc w:val="both"/>
        <w:rPr>
          <w:rFonts w:ascii="Arial" w:hAnsi="Arial"/>
          <w:sz w:val="22"/>
          <w:szCs w:val="22"/>
        </w:rPr>
      </w:pPr>
      <w:r>
        <w:rPr>
          <w:rFonts w:ascii="Arial" w:hAnsi="Arial"/>
          <w:sz w:val="22"/>
          <w:szCs w:val="22"/>
        </w:rPr>
        <w:t>Vu le Code général des collectivités territoriales ;</w:t>
      </w:r>
    </w:p>
    <w:p w:rsidR="00E4203F" w:rsidRPr="00421142" w:rsidRDefault="00E4203F" w:rsidP="0015752D">
      <w:pPr>
        <w:ind w:left="1418"/>
        <w:jc w:val="both"/>
        <w:rPr>
          <w:rFonts w:ascii="Arial" w:hAnsi="Arial"/>
          <w:sz w:val="12"/>
          <w:szCs w:val="12"/>
        </w:rPr>
      </w:pPr>
    </w:p>
    <w:p w:rsidR="00E4203F" w:rsidRDefault="00E4203F" w:rsidP="0015752D">
      <w:pPr>
        <w:ind w:left="1418"/>
        <w:jc w:val="both"/>
        <w:rPr>
          <w:rFonts w:ascii="Arial" w:hAnsi="Arial"/>
          <w:sz w:val="22"/>
          <w:szCs w:val="22"/>
        </w:rPr>
      </w:pPr>
      <w:r>
        <w:rPr>
          <w:rFonts w:ascii="Arial" w:hAnsi="Arial"/>
          <w:sz w:val="22"/>
          <w:szCs w:val="22"/>
        </w:rPr>
        <w:t>Après en avoir délibéré, le conseil municipal, à l'unanimité :</w:t>
      </w:r>
    </w:p>
    <w:p w:rsidR="00C00239" w:rsidRDefault="00C00239" w:rsidP="00C00239">
      <w:pPr>
        <w:numPr>
          <w:ilvl w:val="0"/>
          <w:numId w:val="27"/>
        </w:numPr>
        <w:tabs>
          <w:tab w:val="left" w:pos="1701"/>
        </w:tabs>
        <w:spacing w:before="120"/>
        <w:ind w:left="1701" w:hanging="284"/>
        <w:jc w:val="both"/>
        <w:rPr>
          <w:rFonts w:ascii="Arial" w:hAnsi="Arial"/>
          <w:sz w:val="22"/>
        </w:rPr>
      </w:pPr>
      <w:r w:rsidRPr="00B66813">
        <w:rPr>
          <w:rFonts w:ascii="Arial" w:hAnsi="Arial" w:cs="Arial"/>
          <w:sz w:val="22"/>
          <w:szCs w:val="22"/>
        </w:rPr>
        <w:t xml:space="preserve">approuve la révision des vacations des intervenants du </w:t>
      </w:r>
      <w:proofErr w:type="spellStart"/>
      <w:r w:rsidRPr="00B66813">
        <w:rPr>
          <w:rFonts w:ascii="Arial" w:hAnsi="Arial" w:cs="Arial"/>
          <w:sz w:val="22"/>
          <w:szCs w:val="22"/>
        </w:rPr>
        <w:t>PEdT</w:t>
      </w:r>
      <w:proofErr w:type="spellEnd"/>
      <w:r w:rsidRPr="00B66813">
        <w:rPr>
          <w:rFonts w:ascii="Arial" w:hAnsi="Arial" w:cs="Arial"/>
          <w:sz w:val="22"/>
          <w:szCs w:val="22"/>
        </w:rPr>
        <w:t>, sur la base suivante</w:t>
      </w:r>
      <w:r>
        <w:rPr>
          <w:rFonts w:ascii="Arial" w:hAnsi="Arial" w:cs="Arial"/>
          <w:sz w:val="22"/>
          <w:szCs w:val="22"/>
        </w:rPr>
        <w:t xml:space="preserve"> :</w:t>
      </w:r>
    </w:p>
    <w:p w:rsidR="00C00239" w:rsidRPr="0068757B" w:rsidRDefault="00C00239" w:rsidP="00C00239">
      <w:pPr>
        <w:ind w:left="1418"/>
        <w:jc w:val="both"/>
        <w:rPr>
          <w:rFonts w:ascii="Arial" w:hAnsi="Arial" w:cs="Arial"/>
          <w:iCs/>
          <w:sz w:val="16"/>
          <w:szCs w:val="16"/>
        </w:rPr>
      </w:pPr>
    </w:p>
    <w:tbl>
      <w:tblPr>
        <w:tblW w:w="7938" w:type="dxa"/>
        <w:tblInd w:w="1526" w:type="dxa"/>
        <w:tblCellMar>
          <w:left w:w="0" w:type="dxa"/>
          <w:right w:w="0" w:type="dxa"/>
        </w:tblCellMar>
        <w:tblLook w:val="04A0"/>
      </w:tblPr>
      <w:tblGrid>
        <w:gridCol w:w="4819"/>
        <w:gridCol w:w="1560"/>
        <w:gridCol w:w="1559"/>
      </w:tblGrid>
      <w:tr w:rsidR="00C00239" w:rsidTr="0068757B">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0239" w:rsidRDefault="00C00239">
            <w:pPr>
              <w:spacing w:before="60" w:after="60"/>
              <w:jc w:val="both"/>
              <w:rPr>
                <w:rFonts w:ascii="Arial" w:eastAsiaTheme="minorHAnsi" w:hAnsi="Arial" w:cs="Arial"/>
                <w:sz w:val="22"/>
                <w:szCs w:val="22"/>
              </w:rPr>
            </w:pP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239" w:rsidRDefault="00C00239">
            <w:pPr>
              <w:spacing w:before="60" w:after="60"/>
              <w:jc w:val="center"/>
              <w:rPr>
                <w:rFonts w:ascii="Arial" w:eastAsiaTheme="minorHAnsi" w:hAnsi="Arial" w:cs="Arial"/>
                <w:b/>
                <w:bCs/>
                <w:sz w:val="22"/>
                <w:szCs w:val="22"/>
              </w:rPr>
            </w:pPr>
            <w:r>
              <w:rPr>
                <w:rFonts w:ascii="Arial" w:hAnsi="Arial" w:cs="Arial"/>
                <w:b/>
                <w:bCs/>
              </w:rPr>
              <w:t>Depuis 2010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239" w:rsidRDefault="00C00239">
            <w:pPr>
              <w:spacing w:before="60" w:after="60"/>
              <w:jc w:val="center"/>
              <w:rPr>
                <w:rFonts w:ascii="Arial" w:eastAsiaTheme="minorHAnsi" w:hAnsi="Arial" w:cs="Arial"/>
                <w:b/>
                <w:bCs/>
                <w:sz w:val="22"/>
                <w:szCs w:val="22"/>
              </w:rPr>
            </w:pPr>
            <w:r>
              <w:rPr>
                <w:rFonts w:ascii="Arial" w:hAnsi="Arial" w:cs="Arial"/>
                <w:b/>
                <w:bCs/>
              </w:rPr>
              <w:t>2015</w:t>
            </w:r>
          </w:p>
        </w:tc>
      </w:tr>
      <w:tr w:rsidR="00C00239" w:rsidTr="0068757B">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239" w:rsidRDefault="00C00239">
            <w:pPr>
              <w:spacing w:before="60" w:after="60"/>
              <w:rPr>
                <w:rFonts w:ascii="Arial" w:eastAsiaTheme="minorHAnsi" w:hAnsi="Arial" w:cs="Arial"/>
                <w:sz w:val="22"/>
                <w:szCs w:val="22"/>
              </w:rPr>
            </w:pPr>
            <w:r>
              <w:rPr>
                <w:rFonts w:ascii="Arial" w:hAnsi="Arial" w:cs="Arial"/>
              </w:rPr>
              <w:t>Vacation de base brute (hors congés payés)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C00239" w:rsidRDefault="00C00239">
            <w:pPr>
              <w:spacing w:before="60" w:after="60"/>
              <w:jc w:val="center"/>
              <w:rPr>
                <w:rFonts w:ascii="Arial" w:eastAsiaTheme="minorHAnsi" w:hAnsi="Arial" w:cs="Arial"/>
                <w:sz w:val="22"/>
                <w:szCs w:val="22"/>
              </w:rPr>
            </w:pPr>
            <w:r>
              <w:rPr>
                <w:rFonts w:ascii="Arial" w:hAnsi="Arial" w:cs="Arial"/>
              </w:rPr>
              <w:t>12,85 €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239" w:rsidRDefault="00C00239">
            <w:pPr>
              <w:spacing w:before="60" w:after="60"/>
              <w:jc w:val="center"/>
              <w:rPr>
                <w:rFonts w:ascii="Arial" w:eastAsiaTheme="minorHAnsi" w:hAnsi="Arial" w:cs="Arial"/>
                <w:b/>
                <w:bCs/>
                <w:sz w:val="22"/>
                <w:szCs w:val="22"/>
              </w:rPr>
            </w:pPr>
            <w:r>
              <w:rPr>
                <w:rFonts w:ascii="Arial" w:hAnsi="Arial" w:cs="Arial"/>
                <w:b/>
                <w:bCs/>
              </w:rPr>
              <w:t>12,85 €</w:t>
            </w:r>
          </w:p>
        </w:tc>
      </w:tr>
      <w:tr w:rsidR="00C00239" w:rsidTr="0068757B">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239" w:rsidRDefault="00C00239">
            <w:pPr>
              <w:spacing w:before="60" w:after="60"/>
              <w:jc w:val="both"/>
              <w:rPr>
                <w:rFonts w:ascii="Arial" w:eastAsiaTheme="minorHAnsi" w:hAnsi="Arial" w:cs="Arial"/>
              </w:rPr>
            </w:pPr>
            <w:r>
              <w:rPr>
                <w:rFonts w:ascii="Arial" w:hAnsi="Arial" w:cs="Arial"/>
              </w:rPr>
              <w:t>Vacation intermédiaire brute (hors congés payés)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C00239" w:rsidRDefault="00C00239">
            <w:pPr>
              <w:spacing w:before="60" w:after="60"/>
              <w:ind w:hanging="30"/>
              <w:jc w:val="center"/>
              <w:rPr>
                <w:rFonts w:ascii="Arial" w:eastAsiaTheme="minorHAnsi" w:hAnsi="Arial" w:cs="Arial"/>
                <w:sz w:val="22"/>
                <w:szCs w:val="22"/>
              </w:rPr>
            </w:pPr>
            <w:r>
              <w:rPr>
                <w:rFonts w:ascii="Arial" w:hAnsi="Arial" w:cs="Arial"/>
              </w:rPr>
              <w:t>Création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239" w:rsidRDefault="00C00239">
            <w:pPr>
              <w:spacing w:before="60" w:after="60"/>
              <w:ind w:firstLine="2"/>
              <w:jc w:val="center"/>
              <w:rPr>
                <w:rFonts w:ascii="Arial" w:eastAsiaTheme="minorHAnsi" w:hAnsi="Arial" w:cs="Arial"/>
                <w:b/>
                <w:bCs/>
                <w:sz w:val="22"/>
                <w:szCs w:val="22"/>
              </w:rPr>
            </w:pPr>
            <w:r>
              <w:rPr>
                <w:rFonts w:ascii="Arial" w:hAnsi="Arial" w:cs="Arial"/>
                <w:b/>
                <w:bCs/>
              </w:rPr>
              <w:t>14,15 €</w:t>
            </w:r>
          </w:p>
        </w:tc>
      </w:tr>
      <w:tr w:rsidR="00C00239" w:rsidTr="0068757B">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239" w:rsidRDefault="00C00239">
            <w:pPr>
              <w:spacing w:before="60" w:after="60"/>
              <w:rPr>
                <w:rFonts w:ascii="Arial" w:eastAsiaTheme="minorHAnsi" w:hAnsi="Arial" w:cs="Arial"/>
                <w:sz w:val="22"/>
                <w:szCs w:val="22"/>
              </w:rPr>
            </w:pPr>
            <w:r>
              <w:rPr>
                <w:rFonts w:ascii="Arial" w:hAnsi="Arial" w:cs="Arial"/>
              </w:rPr>
              <w:t>Vacation spécialisée brute (hors congés payés)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C00239" w:rsidRDefault="00C00239">
            <w:pPr>
              <w:spacing w:before="60" w:after="60"/>
              <w:jc w:val="center"/>
              <w:rPr>
                <w:rFonts w:ascii="Arial" w:eastAsiaTheme="minorHAnsi" w:hAnsi="Arial" w:cs="Arial"/>
                <w:sz w:val="22"/>
                <w:szCs w:val="22"/>
              </w:rPr>
            </w:pPr>
            <w:r>
              <w:rPr>
                <w:rFonts w:ascii="Arial" w:hAnsi="Arial" w:cs="Arial"/>
              </w:rPr>
              <w:t>15,45 €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00239" w:rsidRDefault="00C00239">
            <w:pPr>
              <w:spacing w:before="60" w:after="60"/>
              <w:jc w:val="center"/>
              <w:rPr>
                <w:rFonts w:ascii="Arial" w:eastAsiaTheme="minorHAnsi" w:hAnsi="Arial" w:cs="Arial"/>
                <w:b/>
                <w:bCs/>
                <w:sz w:val="22"/>
                <w:szCs w:val="22"/>
              </w:rPr>
            </w:pPr>
            <w:r>
              <w:rPr>
                <w:rFonts w:ascii="Arial" w:hAnsi="Arial" w:cs="Arial"/>
                <w:b/>
                <w:bCs/>
              </w:rPr>
              <w:t>19,00 €</w:t>
            </w:r>
          </w:p>
        </w:tc>
      </w:tr>
    </w:tbl>
    <w:p w:rsidR="00C00239" w:rsidRDefault="00C00239" w:rsidP="0068757B">
      <w:pPr>
        <w:ind w:left="1418"/>
        <w:jc w:val="both"/>
        <w:rPr>
          <w:rFonts w:ascii="Arial" w:eastAsiaTheme="minorHAnsi" w:hAnsi="Arial" w:cs="Arial"/>
          <w:b/>
          <w:bCs/>
          <w:i/>
          <w:iCs/>
        </w:rPr>
      </w:pPr>
      <w:r>
        <w:rPr>
          <w:rFonts w:ascii="Arial" w:hAnsi="Arial" w:cs="Arial"/>
          <w:i/>
          <w:iCs/>
        </w:rPr>
        <w:t>Les congés payés viennent en supplément et représentent 10 % de la rémunération</w:t>
      </w:r>
    </w:p>
    <w:p w:rsidR="00CC4406" w:rsidRDefault="00CC4406" w:rsidP="00936DD3">
      <w:pPr>
        <w:ind w:left="1418"/>
        <w:jc w:val="both"/>
        <w:rPr>
          <w:rFonts w:ascii="Arial" w:hAnsi="Arial"/>
          <w:sz w:val="22"/>
        </w:rPr>
      </w:pPr>
    </w:p>
    <w:p w:rsidR="002D1FF3" w:rsidRDefault="002D1FF3" w:rsidP="002D1FF3">
      <w:pPr>
        <w:tabs>
          <w:tab w:val="left" w:pos="1701"/>
        </w:tabs>
        <w:ind w:left="1701" w:hanging="283"/>
        <w:jc w:val="both"/>
        <w:rPr>
          <w:rFonts w:ascii="Arial" w:hAnsi="Arial" w:cs="Arial"/>
          <w:sz w:val="22"/>
          <w:szCs w:val="22"/>
        </w:rPr>
      </w:pPr>
      <w:r>
        <w:rPr>
          <w:rFonts w:ascii="Arial" w:hAnsi="Arial"/>
          <w:sz w:val="22"/>
          <w:szCs w:val="22"/>
        </w:rPr>
        <w:t>2.</w:t>
      </w:r>
      <w:r>
        <w:rPr>
          <w:rFonts w:ascii="Arial" w:hAnsi="Arial"/>
          <w:sz w:val="22"/>
          <w:szCs w:val="22"/>
        </w:rPr>
        <w:tab/>
      </w:r>
      <w:r w:rsidR="00E4203F">
        <w:rPr>
          <w:rFonts w:ascii="Arial" w:hAnsi="Arial" w:cs="Arial"/>
          <w:sz w:val="22"/>
          <w:szCs w:val="22"/>
        </w:rPr>
        <w:t>dit</w:t>
      </w:r>
      <w:r w:rsidR="00B11A0F" w:rsidRPr="00B66813">
        <w:rPr>
          <w:rFonts w:ascii="Arial" w:hAnsi="Arial" w:cs="Arial"/>
          <w:sz w:val="22"/>
          <w:szCs w:val="22"/>
        </w:rPr>
        <w:t xml:space="preserve"> que cette augmentation s’appliquera à compter </w:t>
      </w:r>
      <w:r w:rsidR="00C00239" w:rsidRPr="00C00239">
        <w:rPr>
          <w:rFonts w:ascii="Arial" w:hAnsi="Arial" w:cs="Arial"/>
          <w:iCs/>
          <w:sz w:val="22"/>
          <w:szCs w:val="22"/>
        </w:rPr>
        <w:t>de la rentrée scolaire 2015/2016</w:t>
      </w:r>
      <w:r w:rsidR="00C00239">
        <w:rPr>
          <w:rFonts w:ascii="Arial" w:hAnsi="Arial" w:cs="Arial"/>
          <w:iCs/>
          <w:sz w:val="22"/>
          <w:szCs w:val="22"/>
        </w:rPr>
        <w:t xml:space="preserve"> </w:t>
      </w:r>
      <w:r w:rsidR="00B11A0F">
        <w:rPr>
          <w:rFonts w:ascii="Arial" w:hAnsi="Arial" w:cs="Arial"/>
          <w:sz w:val="22"/>
          <w:szCs w:val="22"/>
        </w:rPr>
        <w:t>;</w:t>
      </w:r>
    </w:p>
    <w:p w:rsidR="00B11A0F" w:rsidRDefault="00B11A0F" w:rsidP="00B11A0F">
      <w:pPr>
        <w:tabs>
          <w:tab w:val="left" w:pos="1701"/>
        </w:tabs>
        <w:spacing w:before="120"/>
        <w:ind w:left="1702" w:hanging="284"/>
        <w:jc w:val="both"/>
        <w:rPr>
          <w:rFonts w:ascii="Arial" w:hAnsi="Arial"/>
          <w:sz w:val="22"/>
          <w:szCs w:val="22"/>
        </w:rPr>
      </w:pPr>
      <w:r>
        <w:rPr>
          <w:rFonts w:ascii="Arial" w:hAnsi="Arial" w:cs="Arial"/>
          <w:sz w:val="22"/>
          <w:szCs w:val="22"/>
        </w:rPr>
        <w:t>3.</w:t>
      </w:r>
      <w:r>
        <w:rPr>
          <w:rFonts w:ascii="Arial" w:hAnsi="Arial" w:cs="Arial"/>
          <w:sz w:val="22"/>
          <w:szCs w:val="22"/>
        </w:rPr>
        <w:tab/>
      </w:r>
      <w:r w:rsidR="00E4203F">
        <w:rPr>
          <w:rFonts w:ascii="Arial" w:hAnsi="Arial" w:cs="Arial"/>
          <w:sz w:val="22"/>
          <w:szCs w:val="22"/>
        </w:rPr>
        <w:t>dit</w:t>
      </w:r>
      <w:r w:rsidRPr="00B11A0F">
        <w:rPr>
          <w:rFonts w:ascii="Arial" w:hAnsi="Arial" w:cs="Arial"/>
          <w:sz w:val="22"/>
          <w:szCs w:val="22"/>
        </w:rPr>
        <w:t xml:space="preserve"> que la dépense en résultant sera prélevée sur les crédits ouverts au budget</w:t>
      </w:r>
      <w:r>
        <w:rPr>
          <w:rFonts w:ascii="Arial" w:hAnsi="Arial" w:cs="Arial"/>
          <w:sz w:val="22"/>
          <w:szCs w:val="22"/>
        </w:rPr>
        <w:t>.</w:t>
      </w:r>
    </w:p>
    <w:p w:rsidR="002D1FF3" w:rsidRDefault="002D1FF3" w:rsidP="00936DD3">
      <w:pPr>
        <w:ind w:left="1418"/>
        <w:jc w:val="both"/>
        <w:rPr>
          <w:rFonts w:ascii="Arial" w:hAnsi="Arial"/>
          <w:sz w:val="22"/>
          <w:szCs w:val="22"/>
        </w:rPr>
      </w:pPr>
    </w:p>
    <w:p w:rsidR="002D1FF3" w:rsidRDefault="002D1FF3" w:rsidP="00936DD3">
      <w:pPr>
        <w:ind w:left="1418"/>
        <w:jc w:val="both"/>
        <w:rPr>
          <w:rFonts w:ascii="Arial" w:hAnsi="Arial"/>
          <w:sz w:val="22"/>
          <w:szCs w:val="22"/>
        </w:rPr>
      </w:pPr>
    </w:p>
    <w:p w:rsidR="00330944" w:rsidRPr="00B66813" w:rsidRDefault="00330944" w:rsidP="00936DD3">
      <w:pPr>
        <w:ind w:left="1418"/>
        <w:jc w:val="both"/>
        <w:rPr>
          <w:rFonts w:ascii="Arial" w:hAnsi="Arial"/>
          <w:sz w:val="22"/>
          <w:szCs w:val="22"/>
        </w:rPr>
      </w:pPr>
    </w:p>
    <w:sectPr w:rsidR="00330944" w:rsidRPr="00B66813" w:rsidSect="00801284">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63" w:rsidRDefault="000A5363">
      <w:r>
        <w:separator/>
      </w:r>
    </w:p>
  </w:endnote>
  <w:endnote w:type="continuationSeparator" w:id="0">
    <w:p w:rsidR="000A5363" w:rsidRDefault="000A53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63" w:rsidRPr="00DB0B58" w:rsidRDefault="000A5363" w:rsidP="00AE5287">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63" w:rsidRDefault="000A5363">
      <w:r>
        <w:separator/>
      </w:r>
    </w:p>
  </w:footnote>
  <w:footnote w:type="continuationSeparator" w:id="0">
    <w:p w:rsidR="000A5363" w:rsidRDefault="000A5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63" w:rsidRDefault="000A5363" w:rsidP="00731515">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63" w:rsidRDefault="000A5363" w:rsidP="00E46C20">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BA86A26"/>
    <w:multiLevelType w:val="hybridMultilevel"/>
    <w:tmpl w:val="E14E000E"/>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4">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66263DC"/>
    <w:multiLevelType w:val="hybridMultilevel"/>
    <w:tmpl w:val="6F64B53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1A223E9C"/>
    <w:multiLevelType w:val="singleLevel"/>
    <w:tmpl w:val="68C6F5C0"/>
    <w:lvl w:ilvl="0">
      <w:start w:val="1"/>
      <w:numFmt w:val="bullet"/>
      <w:lvlText w:val="-"/>
      <w:lvlJc w:val="left"/>
      <w:pPr>
        <w:tabs>
          <w:tab w:val="num" w:pos="360"/>
        </w:tabs>
        <w:ind w:left="360" w:hanging="360"/>
      </w:pPr>
      <w:rPr>
        <w:rFonts w:ascii="Tahoma" w:hAnsi="Tahoma" w:hint="default"/>
      </w:rPr>
    </w:lvl>
  </w:abstractNum>
  <w:abstractNum w:abstractNumId="7">
    <w:nsid w:val="1AB140C9"/>
    <w:multiLevelType w:val="hybridMultilevel"/>
    <w:tmpl w:val="5F64E730"/>
    <w:lvl w:ilvl="0" w:tplc="103EA1C8">
      <w:numFmt w:val="bullet"/>
      <w:lvlText w:val=""/>
      <w:lvlJc w:val="left"/>
      <w:pPr>
        <w:tabs>
          <w:tab w:val="num" w:pos="4886"/>
        </w:tabs>
        <w:ind w:left="488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1C687573"/>
    <w:multiLevelType w:val="singleLevel"/>
    <w:tmpl w:val="68C6F5C0"/>
    <w:lvl w:ilvl="0">
      <w:start w:val="1"/>
      <w:numFmt w:val="bullet"/>
      <w:lvlText w:val="-"/>
      <w:lvlJc w:val="left"/>
      <w:pPr>
        <w:tabs>
          <w:tab w:val="num" w:pos="360"/>
        </w:tabs>
        <w:ind w:left="360" w:hanging="360"/>
      </w:pPr>
      <w:rPr>
        <w:rFonts w:ascii="Tahoma" w:hAnsi="Tahoma" w:hint="default"/>
      </w:rPr>
    </w:lvl>
  </w:abstractNum>
  <w:abstractNum w:abstractNumId="9">
    <w:nsid w:val="250B466A"/>
    <w:multiLevelType w:val="hybridMultilevel"/>
    <w:tmpl w:val="87B0E51E"/>
    <w:lvl w:ilvl="0" w:tplc="040C000F">
      <w:start w:val="1"/>
      <w:numFmt w:val="decimal"/>
      <w:lvlText w:val="%1."/>
      <w:lvlJc w:val="left"/>
      <w:pPr>
        <w:tabs>
          <w:tab w:val="num" w:pos="720"/>
        </w:tabs>
        <w:ind w:left="720" w:hanging="360"/>
      </w:pPr>
    </w:lvl>
    <w:lvl w:ilvl="1" w:tplc="84AADA9E">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F730199"/>
    <w:multiLevelType w:val="hybridMultilevel"/>
    <w:tmpl w:val="D84A4C4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34D765F0"/>
    <w:multiLevelType w:val="hybridMultilevel"/>
    <w:tmpl w:val="D69CDE1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3">
    <w:nsid w:val="36547985"/>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14">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5">
    <w:nsid w:val="3F0D1CCC"/>
    <w:multiLevelType w:val="hybridMultilevel"/>
    <w:tmpl w:val="E8DA962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nsid w:val="40791737"/>
    <w:multiLevelType w:val="singleLevel"/>
    <w:tmpl w:val="040C000F"/>
    <w:lvl w:ilvl="0">
      <w:start w:val="1"/>
      <w:numFmt w:val="decimal"/>
      <w:lvlText w:val="%1."/>
      <w:lvlJc w:val="left"/>
      <w:pPr>
        <w:tabs>
          <w:tab w:val="num" w:pos="360"/>
        </w:tabs>
        <w:ind w:left="360" w:hanging="360"/>
      </w:pPr>
    </w:lvl>
  </w:abstractNum>
  <w:abstractNum w:abstractNumId="17">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51444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9">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0">
    <w:nsid w:val="454E15EE"/>
    <w:multiLevelType w:val="hybridMultilevel"/>
    <w:tmpl w:val="DB68C674"/>
    <w:lvl w:ilvl="0" w:tplc="327E54D0">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2">
    <w:nsid w:val="4C0650D1"/>
    <w:multiLevelType w:val="hybridMultilevel"/>
    <w:tmpl w:val="5B227BF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nsid w:val="4CEC4B00"/>
    <w:multiLevelType w:val="singleLevel"/>
    <w:tmpl w:val="040C000F"/>
    <w:lvl w:ilvl="0">
      <w:start w:val="1"/>
      <w:numFmt w:val="decimal"/>
      <w:lvlText w:val="%1."/>
      <w:lvlJc w:val="left"/>
      <w:pPr>
        <w:tabs>
          <w:tab w:val="num" w:pos="360"/>
        </w:tabs>
        <w:ind w:left="360" w:hanging="360"/>
      </w:pPr>
    </w:lvl>
  </w:abstractNum>
  <w:abstractNum w:abstractNumId="24">
    <w:nsid w:val="559036F2"/>
    <w:multiLevelType w:val="hybridMultilevel"/>
    <w:tmpl w:val="49F8208C"/>
    <w:lvl w:ilvl="0" w:tplc="C310BA30">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5">
    <w:nsid w:val="562217CE"/>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503905"/>
    <w:multiLevelType w:val="hybridMultilevel"/>
    <w:tmpl w:val="6296849A"/>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nsid w:val="67AF6DC7"/>
    <w:multiLevelType w:val="hybridMultilevel"/>
    <w:tmpl w:val="666E134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8">
    <w:nsid w:val="6D0D6A7F"/>
    <w:multiLevelType w:val="hybridMultilevel"/>
    <w:tmpl w:val="CB8C5990"/>
    <w:lvl w:ilvl="0" w:tplc="040C000F">
      <w:start w:val="1"/>
      <w:numFmt w:val="decimal"/>
      <w:lvlText w:val="%1."/>
      <w:lvlJc w:val="left"/>
      <w:pPr>
        <w:tabs>
          <w:tab w:val="num" w:pos="720"/>
        </w:tabs>
        <w:ind w:left="720" w:hanging="360"/>
      </w:pPr>
    </w:lvl>
    <w:lvl w:ilvl="1" w:tplc="103EA1C8">
      <w:numFmt w:val="bullet"/>
      <w:lvlText w:val=""/>
      <w:lvlJc w:val="left"/>
      <w:pPr>
        <w:tabs>
          <w:tab w:val="num" w:pos="1440"/>
        </w:tabs>
        <w:ind w:left="1440" w:hanging="360"/>
      </w:pPr>
      <w:rPr>
        <w:rFonts w:ascii="Wingdings" w:eastAsia="Times New Roman"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FAA1960"/>
    <w:multiLevelType w:val="hybridMultilevel"/>
    <w:tmpl w:val="5F50D612"/>
    <w:lvl w:ilvl="0" w:tplc="040C0001">
      <w:start w:val="1"/>
      <w:numFmt w:val="bullet"/>
      <w:lvlText w:val=""/>
      <w:lvlJc w:val="left"/>
      <w:pPr>
        <w:ind w:left="2138" w:hanging="360"/>
      </w:pPr>
      <w:rPr>
        <w:rFonts w:ascii="Symbol" w:hAnsi="Symbol" w:hint="default"/>
      </w:rPr>
    </w:lvl>
    <w:lvl w:ilvl="1" w:tplc="13C2435E">
      <w:start w:val="1"/>
      <w:numFmt w:val="bullet"/>
      <w:lvlText w:val=""/>
      <w:lvlJc w:val="left"/>
      <w:pPr>
        <w:ind w:left="2858" w:hanging="360"/>
      </w:pPr>
      <w:rPr>
        <w:rFonts w:ascii="Wingdings" w:hAnsi="Wingdings"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0">
    <w:nsid w:val="73EE4277"/>
    <w:multiLevelType w:val="multilevel"/>
    <w:tmpl w:val="87B0E5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1"/>
  </w:num>
  <w:num w:numId="3">
    <w:abstractNumId w:val="4"/>
  </w:num>
  <w:num w:numId="4">
    <w:abstractNumId w:val="14"/>
  </w:num>
  <w:num w:numId="5">
    <w:abstractNumId w:val="0"/>
  </w:num>
  <w:num w:numId="6">
    <w:abstractNumId w:val="23"/>
  </w:num>
  <w:num w:numId="7">
    <w:abstractNumId w:val="19"/>
  </w:num>
  <w:num w:numId="8">
    <w:abstractNumId w:val="12"/>
  </w:num>
  <w:num w:numId="9">
    <w:abstractNumId w:val="2"/>
  </w:num>
  <w:num w:numId="10">
    <w:abstractNumId w:val="31"/>
  </w:num>
  <w:num w:numId="11">
    <w:abstractNumId w:val="18"/>
  </w:num>
  <w:num w:numId="12">
    <w:abstractNumId w:val="17"/>
  </w:num>
  <w:num w:numId="13">
    <w:abstractNumId w:val="9"/>
  </w:num>
  <w:num w:numId="14">
    <w:abstractNumId w:val="25"/>
  </w:num>
  <w:num w:numId="15">
    <w:abstractNumId w:val="28"/>
  </w:num>
  <w:num w:numId="16">
    <w:abstractNumId w:val="30"/>
  </w:num>
  <w:num w:numId="17">
    <w:abstractNumId w:val="1"/>
  </w:num>
  <w:num w:numId="18">
    <w:abstractNumId w:val="7"/>
  </w:num>
  <w:num w:numId="19">
    <w:abstractNumId w:val="24"/>
  </w:num>
  <w:num w:numId="20">
    <w:abstractNumId w:val="10"/>
  </w:num>
  <w:num w:numId="21">
    <w:abstractNumId w:val="11"/>
  </w:num>
  <w:num w:numId="22">
    <w:abstractNumId w:val="15"/>
  </w:num>
  <w:num w:numId="23">
    <w:abstractNumId w:val="27"/>
  </w:num>
  <w:num w:numId="24">
    <w:abstractNumId w:val="26"/>
  </w:num>
  <w:num w:numId="25">
    <w:abstractNumId w:val="22"/>
  </w:num>
  <w:num w:numId="26">
    <w:abstractNumId w:val="29"/>
  </w:num>
  <w:num w:numId="27">
    <w:abstractNumId w:val="16"/>
  </w:num>
  <w:num w:numId="28">
    <w:abstractNumId w:val="5"/>
  </w:num>
  <w:num w:numId="29">
    <w:abstractNumId w:val="13"/>
  </w:num>
  <w:num w:numId="30">
    <w:abstractNumId w:val="8"/>
  </w:num>
  <w:num w:numId="31">
    <w:abstractNumId w:val="6"/>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72338"/>
    <w:rsid w:val="00014291"/>
    <w:rsid w:val="000324C0"/>
    <w:rsid w:val="00046221"/>
    <w:rsid w:val="0005348F"/>
    <w:rsid w:val="00054B51"/>
    <w:rsid w:val="0006021E"/>
    <w:rsid w:val="00061958"/>
    <w:rsid w:val="000644BE"/>
    <w:rsid w:val="00071EBD"/>
    <w:rsid w:val="00081457"/>
    <w:rsid w:val="000A2A60"/>
    <w:rsid w:val="000A380C"/>
    <w:rsid w:val="000A5363"/>
    <w:rsid w:val="000A75DF"/>
    <w:rsid w:val="000B2501"/>
    <w:rsid w:val="000B4B4B"/>
    <w:rsid w:val="000C7659"/>
    <w:rsid w:val="000D09F5"/>
    <w:rsid w:val="000F2AD3"/>
    <w:rsid w:val="001013B4"/>
    <w:rsid w:val="00117141"/>
    <w:rsid w:val="00123818"/>
    <w:rsid w:val="00133F55"/>
    <w:rsid w:val="00141649"/>
    <w:rsid w:val="00152F23"/>
    <w:rsid w:val="001542B8"/>
    <w:rsid w:val="00154908"/>
    <w:rsid w:val="0016009E"/>
    <w:rsid w:val="00167A91"/>
    <w:rsid w:val="0017206B"/>
    <w:rsid w:val="001759DE"/>
    <w:rsid w:val="00186BC1"/>
    <w:rsid w:val="001975F6"/>
    <w:rsid w:val="001A3F81"/>
    <w:rsid w:val="001A79A3"/>
    <w:rsid w:val="001B409F"/>
    <w:rsid w:val="001E1426"/>
    <w:rsid w:val="001E6ECE"/>
    <w:rsid w:val="001F28EA"/>
    <w:rsid w:val="001F47AF"/>
    <w:rsid w:val="00204BCE"/>
    <w:rsid w:val="002101FE"/>
    <w:rsid w:val="00212022"/>
    <w:rsid w:val="0021480B"/>
    <w:rsid w:val="00224FA6"/>
    <w:rsid w:val="002335AB"/>
    <w:rsid w:val="00246537"/>
    <w:rsid w:val="00263B1C"/>
    <w:rsid w:val="002674A0"/>
    <w:rsid w:val="002809E0"/>
    <w:rsid w:val="00287293"/>
    <w:rsid w:val="00292EE5"/>
    <w:rsid w:val="002A2550"/>
    <w:rsid w:val="002A376E"/>
    <w:rsid w:val="002A4E63"/>
    <w:rsid w:val="002B171D"/>
    <w:rsid w:val="002C71E1"/>
    <w:rsid w:val="002D1FF3"/>
    <w:rsid w:val="002D40E8"/>
    <w:rsid w:val="0031137E"/>
    <w:rsid w:val="003133AA"/>
    <w:rsid w:val="00330944"/>
    <w:rsid w:val="003311AF"/>
    <w:rsid w:val="00352264"/>
    <w:rsid w:val="00377829"/>
    <w:rsid w:val="00391DDF"/>
    <w:rsid w:val="003A6A45"/>
    <w:rsid w:val="003A71B8"/>
    <w:rsid w:val="003B007D"/>
    <w:rsid w:val="003C0FD7"/>
    <w:rsid w:val="003C4EC3"/>
    <w:rsid w:val="003C515D"/>
    <w:rsid w:val="003D25A5"/>
    <w:rsid w:val="003D6D13"/>
    <w:rsid w:val="003F717D"/>
    <w:rsid w:val="00401532"/>
    <w:rsid w:val="004101B3"/>
    <w:rsid w:val="004177A7"/>
    <w:rsid w:val="0042063D"/>
    <w:rsid w:val="00434281"/>
    <w:rsid w:val="004417CC"/>
    <w:rsid w:val="00472089"/>
    <w:rsid w:val="00472338"/>
    <w:rsid w:val="00477347"/>
    <w:rsid w:val="00484DE2"/>
    <w:rsid w:val="004B6F6C"/>
    <w:rsid w:val="004C08B3"/>
    <w:rsid w:val="004D2CB2"/>
    <w:rsid w:val="004E158C"/>
    <w:rsid w:val="004F4CEC"/>
    <w:rsid w:val="00513B82"/>
    <w:rsid w:val="005173B4"/>
    <w:rsid w:val="005250BF"/>
    <w:rsid w:val="00537DEF"/>
    <w:rsid w:val="005532AE"/>
    <w:rsid w:val="00557BE2"/>
    <w:rsid w:val="005604E7"/>
    <w:rsid w:val="00561AC7"/>
    <w:rsid w:val="005717D2"/>
    <w:rsid w:val="00580F52"/>
    <w:rsid w:val="00581E87"/>
    <w:rsid w:val="00583224"/>
    <w:rsid w:val="005841E3"/>
    <w:rsid w:val="00591910"/>
    <w:rsid w:val="005A2E44"/>
    <w:rsid w:val="005B0CCB"/>
    <w:rsid w:val="005B0FE6"/>
    <w:rsid w:val="005B2A0E"/>
    <w:rsid w:val="005B4B4E"/>
    <w:rsid w:val="005C5EFE"/>
    <w:rsid w:val="005F726F"/>
    <w:rsid w:val="00624933"/>
    <w:rsid w:val="00633CA5"/>
    <w:rsid w:val="00646476"/>
    <w:rsid w:val="00654F6A"/>
    <w:rsid w:val="00663610"/>
    <w:rsid w:val="006662E7"/>
    <w:rsid w:val="0068757B"/>
    <w:rsid w:val="006B163B"/>
    <w:rsid w:val="006C26AD"/>
    <w:rsid w:val="006D5480"/>
    <w:rsid w:val="006E1672"/>
    <w:rsid w:val="006E490D"/>
    <w:rsid w:val="006E7366"/>
    <w:rsid w:val="006F22F0"/>
    <w:rsid w:val="006F3CA2"/>
    <w:rsid w:val="006F7AA0"/>
    <w:rsid w:val="007029FB"/>
    <w:rsid w:val="00704BCA"/>
    <w:rsid w:val="0070755F"/>
    <w:rsid w:val="0071655A"/>
    <w:rsid w:val="00721319"/>
    <w:rsid w:val="00721A74"/>
    <w:rsid w:val="00730887"/>
    <w:rsid w:val="00731515"/>
    <w:rsid w:val="00732A0F"/>
    <w:rsid w:val="0073670C"/>
    <w:rsid w:val="00752871"/>
    <w:rsid w:val="0075460D"/>
    <w:rsid w:val="00755B5B"/>
    <w:rsid w:val="00760C0F"/>
    <w:rsid w:val="00764B33"/>
    <w:rsid w:val="00766B08"/>
    <w:rsid w:val="0077031D"/>
    <w:rsid w:val="00776442"/>
    <w:rsid w:val="007767F7"/>
    <w:rsid w:val="00776E97"/>
    <w:rsid w:val="007806E9"/>
    <w:rsid w:val="0079732A"/>
    <w:rsid w:val="007B59AA"/>
    <w:rsid w:val="007C22B2"/>
    <w:rsid w:val="007C26F8"/>
    <w:rsid w:val="007C46A0"/>
    <w:rsid w:val="007D5511"/>
    <w:rsid w:val="007E477D"/>
    <w:rsid w:val="007E54BB"/>
    <w:rsid w:val="007F24FF"/>
    <w:rsid w:val="007F3878"/>
    <w:rsid w:val="007F77AF"/>
    <w:rsid w:val="00801284"/>
    <w:rsid w:val="00812E82"/>
    <w:rsid w:val="00834AEB"/>
    <w:rsid w:val="00855081"/>
    <w:rsid w:val="0085604A"/>
    <w:rsid w:val="00864DFB"/>
    <w:rsid w:val="008731E0"/>
    <w:rsid w:val="00896567"/>
    <w:rsid w:val="00896CD8"/>
    <w:rsid w:val="008B1934"/>
    <w:rsid w:val="008D5680"/>
    <w:rsid w:val="008F0A90"/>
    <w:rsid w:val="008F726B"/>
    <w:rsid w:val="00907FC9"/>
    <w:rsid w:val="00924CD1"/>
    <w:rsid w:val="00925121"/>
    <w:rsid w:val="00932E65"/>
    <w:rsid w:val="00936DD3"/>
    <w:rsid w:val="00941FC5"/>
    <w:rsid w:val="00956FD9"/>
    <w:rsid w:val="00961630"/>
    <w:rsid w:val="0096349C"/>
    <w:rsid w:val="00987DB6"/>
    <w:rsid w:val="00987F59"/>
    <w:rsid w:val="0099528C"/>
    <w:rsid w:val="009A6565"/>
    <w:rsid w:val="009A6A3E"/>
    <w:rsid w:val="009B5AF5"/>
    <w:rsid w:val="009E4CFD"/>
    <w:rsid w:val="00A0011C"/>
    <w:rsid w:val="00A0473D"/>
    <w:rsid w:val="00A04DCA"/>
    <w:rsid w:val="00A07CED"/>
    <w:rsid w:val="00A101BC"/>
    <w:rsid w:val="00A33DA8"/>
    <w:rsid w:val="00A35C59"/>
    <w:rsid w:val="00A37059"/>
    <w:rsid w:val="00A37815"/>
    <w:rsid w:val="00A443E1"/>
    <w:rsid w:val="00A44CB7"/>
    <w:rsid w:val="00A454AB"/>
    <w:rsid w:val="00A50BFB"/>
    <w:rsid w:val="00A57199"/>
    <w:rsid w:val="00A734AE"/>
    <w:rsid w:val="00A73E19"/>
    <w:rsid w:val="00A84C9F"/>
    <w:rsid w:val="00A942DB"/>
    <w:rsid w:val="00AB6664"/>
    <w:rsid w:val="00AC169A"/>
    <w:rsid w:val="00AD2EB7"/>
    <w:rsid w:val="00AD5A07"/>
    <w:rsid w:val="00AE5287"/>
    <w:rsid w:val="00B00CDA"/>
    <w:rsid w:val="00B11A0F"/>
    <w:rsid w:val="00B2604B"/>
    <w:rsid w:val="00B52558"/>
    <w:rsid w:val="00B55AD9"/>
    <w:rsid w:val="00B66283"/>
    <w:rsid w:val="00B66813"/>
    <w:rsid w:val="00B72723"/>
    <w:rsid w:val="00B72AA0"/>
    <w:rsid w:val="00B7347F"/>
    <w:rsid w:val="00B73F26"/>
    <w:rsid w:val="00B76A8F"/>
    <w:rsid w:val="00BA7359"/>
    <w:rsid w:val="00BB21D8"/>
    <w:rsid w:val="00BB46FD"/>
    <w:rsid w:val="00BC7E4B"/>
    <w:rsid w:val="00BD1B19"/>
    <w:rsid w:val="00BD3147"/>
    <w:rsid w:val="00BE015E"/>
    <w:rsid w:val="00BE0482"/>
    <w:rsid w:val="00BE12B0"/>
    <w:rsid w:val="00BF70F8"/>
    <w:rsid w:val="00C00239"/>
    <w:rsid w:val="00C004E4"/>
    <w:rsid w:val="00C07570"/>
    <w:rsid w:val="00C35B05"/>
    <w:rsid w:val="00C42CB8"/>
    <w:rsid w:val="00C54F71"/>
    <w:rsid w:val="00C759FF"/>
    <w:rsid w:val="00C939D5"/>
    <w:rsid w:val="00C95ABB"/>
    <w:rsid w:val="00CA2338"/>
    <w:rsid w:val="00CB42D5"/>
    <w:rsid w:val="00CB6C75"/>
    <w:rsid w:val="00CC4406"/>
    <w:rsid w:val="00CD6B2B"/>
    <w:rsid w:val="00CE4A05"/>
    <w:rsid w:val="00CF1974"/>
    <w:rsid w:val="00D01F33"/>
    <w:rsid w:val="00D128C5"/>
    <w:rsid w:val="00D16F53"/>
    <w:rsid w:val="00D341AA"/>
    <w:rsid w:val="00D34E51"/>
    <w:rsid w:val="00D37C3D"/>
    <w:rsid w:val="00D45EBC"/>
    <w:rsid w:val="00D5145D"/>
    <w:rsid w:val="00D51EC1"/>
    <w:rsid w:val="00D56BB4"/>
    <w:rsid w:val="00D63E0F"/>
    <w:rsid w:val="00D71531"/>
    <w:rsid w:val="00D7340C"/>
    <w:rsid w:val="00D76EB7"/>
    <w:rsid w:val="00D8282D"/>
    <w:rsid w:val="00D9263A"/>
    <w:rsid w:val="00D96031"/>
    <w:rsid w:val="00DB0B58"/>
    <w:rsid w:val="00DE0BFD"/>
    <w:rsid w:val="00DE420F"/>
    <w:rsid w:val="00DF1982"/>
    <w:rsid w:val="00DF55F5"/>
    <w:rsid w:val="00E05223"/>
    <w:rsid w:val="00E11D93"/>
    <w:rsid w:val="00E13905"/>
    <w:rsid w:val="00E21B97"/>
    <w:rsid w:val="00E3171E"/>
    <w:rsid w:val="00E32215"/>
    <w:rsid w:val="00E33440"/>
    <w:rsid w:val="00E36617"/>
    <w:rsid w:val="00E4124D"/>
    <w:rsid w:val="00E4203F"/>
    <w:rsid w:val="00E46BDD"/>
    <w:rsid w:val="00E46C20"/>
    <w:rsid w:val="00E62297"/>
    <w:rsid w:val="00E76537"/>
    <w:rsid w:val="00E838B9"/>
    <w:rsid w:val="00E914A0"/>
    <w:rsid w:val="00E9686C"/>
    <w:rsid w:val="00EB42DF"/>
    <w:rsid w:val="00EC2E58"/>
    <w:rsid w:val="00EC723F"/>
    <w:rsid w:val="00ED66F5"/>
    <w:rsid w:val="00ED6E67"/>
    <w:rsid w:val="00EF1492"/>
    <w:rsid w:val="00F0579E"/>
    <w:rsid w:val="00F07CBB"/>
    <w:rsid w:val="00F10346"/>
    <w:rsid w:val="00F249AE"/>
    <w:rsid w:val="00F324CA"/>
    <w:rsid w:val="00F55B1D"/>
    <w:rsid w:val="00F74008"/>
    <w:rsid w:val="00F76F7B"/>
    <w:rsid w:val="00F803B9"/>
    <w:rsid w:val="00F92116"/>
    <w:rsid w:val="00FA44B7"/>
    <w:rsid w:val="00FB0336"/>
    <w:rsid w:val="00FB03DF"/>
    <w:rsid w:val="00FB5139"/>
    <w:rsid w:val="00FC6D4A"/>
    <w:rsid w:val="00FD7910"/>
    <w:rsid w:val="00FD7A88"/>
    <w:rsid w:val="00FE72C3"/>
    <w:rsid w:val="00FF50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47"/>
    <w:rPr>
      <w:rFonts w:ascii="Univers (W1)" w:hAnsi="Univers (W1)"/>
    </w:rPr>
  </w:style>
  <w:style w:type="paragraph" w:styleId="Titre1">
    <w:name w:val="heading 1"/>
    <w:basedOn w:val="Normal"/>
    <w:next w:val="Normal"/>
    <w:qFormat/>
    <w:rsid w:val="00477347"/>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477347"/>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477347"/>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477347"/>
    <w:rPr>
      <w:sz w:val="16"/>
      <w:szCs w:val="16"/>
    </w:rPr>
  </w:style>
  <w:style w:type="paragraph" w:styleId="Commentaire">
    <w:name w:val="annotation text"/>
    <w:basedOn w:val="Normal"/>
    <w:semiHidden/>
    <w:rsid w:val="00477347"/>
  </w:style>
  <w:style w:type="paragraph" w:styleId="En-tte">
    <w:name w:val="header"/>
    <w:basedOn w:val="Normal"/>
    <w:rsid w:val="00477347"/>
    <w:pPr>
      <w:tabs>
        <w:tab w:val="center" w:pos="4536"/>
        <w:tab w:val="right" w:pos="9072"/>
      </w:tabs>
    </w:pPr>
  </w:style>
  <w:style w:type="paragraph" w:styleId="Pieddepage">
    <w:name w:val="footer"/>
    <w:basedOn w:val="Normal"/>
    <w:rsid w:val="00477347"/>
    <w:pPr>
      <w:tabs>
        <w:tab w:val="center" w:pos="4536"/>
        <w:tab w:val="right" w:pos="9072"/>
      </w:tabs>
    </w:pPr>
  </w:style>
  <w:style w:type="paragraph" w:customStyle="1" w:styleId="Paragraphe">
    <w:name w:val="Paragraphe"/>
    <w:basedOn w:val="Normal"/>
    <w:rsid w:val="00477347"/>
    <w:pPr>
      <w:ind w:firstLine="1276"/>
      <w:jc w:val="both"/>
    </w:pPr>
  </w:style>
  <w:style w:type="paragraph" w:styleId="Retraitcorpsdetexte">
    <w:name w:val="Body Text Indent"/>
    <w:basedOn w:val="Normal"/>
    <w:rsid w:val="00477347"/>
    <w:pPr>
      <w:ind w:left="2269" w:firstLine="1133"/>
      <w:jc w:val="both"/>
    </w:pPr>
    <w:rPr>
      <w:rFonts w:ascii="Univers" w:hAnsi="Univers"/>
      <w:sz w:val="22"/>
      <w:szCs w:val="22"/>
    </w:rPr>
  </w:style>
  <w:style w:type="paragraph" w:styleId="Retraitcorpsdetexte2">
    <w:name w:val="Body Text Indent 2"/>
    <w:basedOn w:val="Normal"/>
    <w:rsid w:val="00477347"/>
    <w:pPr>
      <w:ind w:left="2552"/>
      <w:jc w:val="both"/>
    </w:pPr>
    <w:rPr>
      <w:rFonts w:ascii="Univers" w:hAnsi="Univers"/>
      <w:sz w:val="22"/>
      <w:szCs w:val="22"/>
    </w:rPr>
  </w:style>
  <w:style w:type="paragraph" w:styleId="Retraitcorpsdetexte3">
    <w:name w:val="Body Text Indent 3"/>
    <w:basedOn w:val="Normal"/>
    <w:rsid w:val="00477347"/>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472338"/>
    <w:rPr>
      <w:rFonts w:ascii="Tahoma" w:hAnsi="Tahoma" w:cs="Tahoma"/>
      <w:sz w:val="16"/>
      <w:szCs w:val="16"/>
    </w:rPr>
  </w:style>
  <w:style w:type="paragraph" w:styleId="Corpsdetexte">
    <w:name w:val="Body Text"/>
    <w:basedOn w:val="Normal"/>
    <w:rsid w:val="00537DEF"/>
    <w:pPr>
      <w:spacing w:after="120"/>
    </w:pPr>
  </w:style>
  <w:style w:type="paragraph" w:customStyle="1" w:styleId="NormalWeb2">
    <w:name w:val="Normal (Web)2"/>
    <w:basedOn w:val="Normal"/>
    <w:rsid w:val="00C35B05"/>
    <w:pPr>
      <w:spacing w:before="240" w:after="240"/>
    </w:pPr>
    <w:rPr>
      <w:rFonts w:ascii="Times New Roman" w:hAnsi="Times New Roman"/>
      <w:sz w:val="24"/>
      <w:szCs w:val="24"/>
    </w:rPr>
  </w:style>
  <w:style w:type="character" w:styleId="lev">
    <w:name w:val="Strong"/>
    <w:basedOn w:val="Policepardfaut"/>
    <w:qFormat/>
    <w:rsid w:val="00DB0B58"/>
    <w:rPr>
      <w:b/>
      <w:bCs/>
    </w:rPr>
  </w:style>
  <w:style w:type="table" w:styleId="Grilledutableau">
    <w:name w:val="Table Grid"/>
    <w:basedOn w:val="TableauNormal"/>
    <w:rsid w:val="006F7AA0"/>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380C"/>
    <w:pPr>
      <w:ind w:left="720"/>
      <w:contextualSpacing/>
    </w:pPr>
  </w:style>
</w:styles>
</file>

<file path=word/webSettings.xml><?xml version="1.0" encoding="utf-8"?>
<w:webSettings xmlns:r="http://schemas.openxmlformats.org/officeDocument/2006/relationships" xmlns:w="http://schemas.openxmlformats.org/wordprocessingml/2006/main">
  <w:divs>
    <w:div w:id="72513752">
      <w:bodyDiv w:val="1"/>
      <w:marLeft w:val="0"/>
      <w:marRight w:val="0"/>
      <w:marTop w:val="0"/>
      <w:marBottom w:val="0"/>
      <w:divBdr>
        <w:top w:val="none" w:sz="0" w:space="0" w:color="auto"/>
        <w:left w:val="none" w:sz="0" w:space="0" w:color="auto"/>
        <w:bottom w:val="none" w:sz="0" w:space="0" w:color="auto"/>
        <w:right w:val="none" w:sz="0" w:space="0" w:color="auto"/>
      </w:divBdr>
    </w:div>
    <w:div w:id="477234538">
      <w:bodyDiv w:val="1"/>
      <w:marLeft w:val="0"/>
      <w:marRight w:val="0"/>
      <w:marTop w:val="0"/>
      <w:marBottom w:val="0"/>
      <w:divBdr>
        <w:top w:val="none" w:sz="0" w:space="0" w:color="auto"/>
        <w:left w:val="none" w:sz="0" w:space="0" w:color="auto"/>
        <w:bottom w:val="none" w:sz="0" w:space="0" w:color="auto"/>
        <w:right w:val="none" w:sz="0" w:space="0" w:color="auto"/>
      </w:divBdr>
      <w:divsChild>
        <w:div w:id="1266229144">
          <w:marLeft w:val="0"/>
          <w:marRight w:val="0"/>
          <w:marTop w:val="0"/>
          <w:marBottom w:val="0"/>
          <w:divBdr>
            <w:top w:val="none" w:sz="0" w:space="0" w:color="auto"/>
            <w:left w:val="none" w:sz="0" w:space="0" w:color="auto"/>
            <w:bottom w:val="none" w:sz="0" w:space="0" w:color="auto"/>
            <w:right w:val="none" w:sz="0" w:space="0" w:color="auto"/>
          </w:divBdr>
          <w:divsChild>
            <w:div w:id="1302806381">
              <w:marLeft w:val="0"/>
              <w:marRight w:val="0"/>
              <w:marTop w:val="0"/>
              <w:marBottom w:val="0"/>
              <w:divBdr>
                <w:top w:val="none" w:sz="0" w:space="0" w:color="auto"/>
                <w:left w:val="none" w:sz="0" w:space="0" w:color="auto"/>
                <w:bottom w:val="none" w:sz="0" w:space="0" w:color="auto"/>
                <w:right w:val="none" w:sz="0" w:space="0" w:color="auto"/>
              </w:divBdr>
              <w:divsChild>
                <w:div w:id="1647970126">
                  <w:marLeft w:val="0"/>
                  <w:marRight w:val="0"/>
                  <w:marTop w:val="0"/>
                  <w:marBottom w:val="0"/>
                  <w:divBdr>
                    <w:top w:val="none" w:sz="0" w:space="0" w:color="auto"/>
                    <w:left w:val="none" w:sz="0" w:space="0" w:color="auto"/>
                    <w:bottom w:val="none" w:sz="0" w:space="0" w:color="auto"/>
                    <w:right w:val="none" w:sz="0" w:space="0" w:color="auto"/>
                  </w:divBdr>
                  <w:divsChild>
                    <w:div w:id="281350685">
                      <w:marLeft w:val="0"/>
                      <w:marRight w:val="0"/>
                      <w:marTop w:val="0"/>
                      <w:marBottom w:val="0"/>
                      <w:divBdr>
                        <w:top w:val="none" w:sz="0" w:space="0" w:color="auto"/>
                        <w:left w:val="none" w:sz="0" w:space="0" w:color="auto"/>
                        <w:bottom w:val="none" w:sz="0" w:space="0" w:color="auto"/>
                        <w:right w:val="none" w:sz="0" w:space="0" w:color="auto"/>
                      </w:divBdr>
                      <w:divsChild>
                        <w:div w:id="1461846060">
                          <w:marLeft w:val="0"/>
                          <w:marRight w:val="0"/>
                          <w:marTop w:val="0"/>
                          <w:marBottom w:val="0"/>
                          <w:divBdr>
                            <w:top w:val="none" w:sz="0" w:space="3" w:color="auto"/>
                            <w:left w:val="none" w:sz="0" w:space="3" w:color="auto"/>
                            <w:bottom w:val="none" w:sz="0" w:space="3" w:color="auto"/>
                            <w:right w:val="none" w:sz="0" w:space="3" w:color="auto"/>
                          </w:divBdr>
                          <w:divsChild>
                            <w:div w:id="1923175966">
                              <w:marLeft w:val="0"/>
                              <w:marRight w:val="0"/>
                              <w:marTop w:val="0"/>
                              <w:marBottom w:val="0"/>
                              <w:divBdr>
                                <w:top w:val="none" w:sz="0" w:space="0" w:color="auto"/>
                                <w:left w:val="none" w:sz="0" w:space="0" w:color="auto"/>
                                <w:bottom w:val="none" w:sz="0" w:space="0" w:color="auto"/>
                                <w:right w:val="none" w:sz="0" w:space="0" w:color="auto"/>
                              </w:divBdr>
                              <w:divsChild>
                                <w:div w:id="1070729683">
                                  <w:marLeft w:val="0"/>
                                  <w:marRight w:val="0"/>
                                  <w:marTop w:val="240"/>
                                  <w:marBottom w:val="240"/>
                                  <w:divBdr>
                                    <w:top w:val="none" w:sz="0" w:space="3" w:color="auto"/>
                                    <w:left w:val="none" w:sz="0" w:space="3" w:color="auto"/>
                                    <w:bottom w:val="single" w:sz="4" w:space="24" w:color="CCCCCC"/>
                                    <w:right w:val="none" w:sz="0" w:space="3" w:color="auto"/>
                                  </w:divBdr>
                                </w:div>
                              </w:divsChild>
                            </w:div>
                          </w:divsChild>
                        </w:div>
                      </w:divsChild>
                    </w:div>
                  </w:divsChild>
                </w:div>
              </w:divsChild>
            </w:div>
          </w:divsChild>
        </w:div>
      </w:divsChild>
    </w:div>
    <w:div w:id="615452662">
      <w:bodyDiv w:val="1"/>
      <w:marLeft w:val="0"/>
      <w:marRight w:val="0"/>
      <w:marTop w:val="0"/>
      <w:marBottom w:val="0"/>
      <w:divBdr>
        <w:top w:val="none" w:sz="0" w:space="0" w:color="auto"/>
        <w:left w:val="none" w:sz="0" w:space="0" w:color="auto"/>
        <w:bottom w:val="none" w:sz="0" w:space="0" w:color="auto"/>
        <w:right w:val="none" w:sz="0" w:space="0" w:color="auto"/>
      </w:divBdr>
    </w:div>
    <w:div w:id="761340774">
      <w:bodyDiv w:val="1"/>
      <w:marLeft w:val="0"/>
      <w:marRight w:val="0"/>
      <w:marTop w:val="0"/>
      <w:marBottom w:val="0"/>
      <w:divBdr>
        <w:top w:val="none" w:sz="0" w:space="0" w:color="auto"/>
        <w:left w:val="none" w:sz="0" w:space="0" w:color="auto"/>
        <w:bottom w:val="none" w:sz="0" w:space="0" w:color="auto"/>
        <w:right w:val="none" w:sz="0" w:space="0" w:color="auto"/>
      </w:divBdr>
    </w:div>
    <w:div w:id="16133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480</Words>
  <Characters>2641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18</cp:revision>
  <cp:lastPrinted>2015-08-28T14:19:00Z</cp:lastPrinted>
  <dcterms:created xsi:type="dcterms:W3CDTF">2015-07-24T09:01:00Z</dcterms:created>
  <dcterms:modified xsi:type="dcterms:W3CDTF">2015-09-28T12:43:00Z</dcterms:modified>
</cp:coreProperties>
</file>